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盖章、签字）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  <w:u w:val="none"/>
          <w:lang w:val="en-US" w:eastAsia="zh-CN"/>
        </w:rPr>
        <w:t>2024</w:t>
      </w:r>
      <w:bookmarkStart w:id="0" w:name="_GoBack"/>
      <w:bookmarkEnd w:id="0"/>
      <w:r>
        <w:rPr>
          <w:rFonts w:hint="eastAsia" w:ascii="方正小标宋简体" w:hAnsi="华文中宋" w:eastAsia="方正小标宋简体" w:cs="黑体"/>
          <w:sz w:val="36"/>
          <w:szCs w:val="36"/>
          <w:u w:val="none"/>
          <w:lang w:val="en-US" w:eastAsia="zh-CN"/>
        </w:rPr>
        <w:t>届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脱贫人口家庭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残疾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9266E6E"/>
    <w:rsid w:val="3CF4449C"/>
    <w:rsid w:val="6806081D"/>
    <w:rsid w:val="70D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300</Characters>
  <Lines>5</Lines>
  <Paragraphs>1</Paragraphs>
  <TotalTime>4</TotalTime>
  <ScaleCrop>false</ScaleCrop>
  <LinksUpToDate>false</LinksUpToDate>
  <CharactersWithSpaces>571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2023-08-28T09:16:18Z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7199663436C8417CB4AE2AB120514A18</vt:lpwstr>
  </property>
</Properties>
</file>