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379AB">
      <w:pPr>
        <w:jc w:val="center"/>
        <w:rPr>
          <w:rFonts w:ascii="华文中宋" w:hAnsi="华文中宋" w:eastAsia="华文中宋"/>
          <w:b/>
          <w:sz w:val="36"/>
        </w:rPr>
      </w:pPr>
      <w:r>
        <w:rPr>
          <w:rFonts w:hint="eastAsia" w:ascii="华文中宋" w:hAnsi="华文中宋" w:eastAsia="华文中宋"/>
          <w:b/>
          <w:sz w:val="36"/>
        </w:rPr>
        <w:t xml:space="preserve"> 草业与草原学院研究生国家奖学金评定暂行</w:t>
      </w:r>
      <w:r>
        <w:rPr>
          <w:rFonts w:ascii="华文中宋" w:hAnsi="华文中宋" w:eastAsia="华文中宋"/>
          <w:b/>
          <w:sz w:val="36"/>
        </w:rPr>
        <w:t>办法</w:t>
      </w:r>
    </w:p>
    <w:p w14:paraId="2A5E289E">
      <w:pPr>
        <w:jc w:val="center"/>
        <w:rPr>
          <w:rFonts w:hint="eastAsia" w:ascii="黑体" w:hAnsi="黑体" w:eastAsia="黑体"/>
          <w:b/>
          <w:sz w:val="28"/>
          <w:szCs w:val="28"/>
        </w:rPr>
      </w:pPr>
    </w:p>
    <w:p w14:paraId="3878BD38">
      <w:pPr>
        <w:jc w:val="center"/>
        <w:rPr>
          <w:rFonts w:ascii="黑体" w:hAnsi="黑体" w:eastAsia="黑体"/>
          <w:b/>
          <w:sz w:val="28"/>
          <w:szCs w:val="28"/>
        </w:rPr>
      </w:pPr>
      <w:r>
        <w:rPr>
          <w:rFonts w:hint="eastAsia" w:ascii="黑体" w:hAnsi="黑体" w:eastAsia="黑体"/>
          <w:b/>
          <w:sz w:val="28"/>
          <w:szCs w:val="28"/>
        </w:rPr>
        <w:t>第一章 总则</w:t>
      </w:r>
    </w:p>
    <w:p w14:paraId="1E0C9584">
      <w:pPr>
        <w:ind w:firstLine="562" w:firstLineChars="200"/>
        <w:rPr>
          <w:rFonts w:ascii="仿宋_GB2312" w:eastAsia="仿宋_GB2312"/>
          <w:sz w:val="28"/>
          <w:szCs w:val="28"/>
        </w:rPr>
      </w:pPr>
      <w:r>
        <w:rPr>
          <w:rFonts w:hint="eastAsia" w:ascii="仿宋_GB2312" w:eastAsia="仿宋_GB2312"/>
          <w:b/>
          <w:sz w:val="28"/>
          <w:szCs w:val="28"/>
        </w:rPr>
        <w:t>第一条</w:t>
      </w:r>
      <w:r>
        <w:rPr>
          <w:rFonts w:hint="eastAsia" w:ascii="仿宋_GB2312" w:eastAsia="仿宋_GB2312"/>
          <w:sz w:val="28"/>
          <w:szCs w:val="28"/>
        </w:rPr>
        <w:t xml:space="preserve"> 根据《研究生国家奖学金管理暂行办法》(财教[2012]342号）、《北京林业大学研究生国家奖学金评定暂行办法》的有关要求和规定，为提高我院研究生培养质量，促进创新人才培养，鼓励研究生在学期间德、智、体、美全面发展，结合我院实际情况，特制定本办法。</w:t>
      </w:r>
    </w:p>
    <w:p w14:paraId="60D38110">
      <w:pPr>
        <w:ind w:firstLine="562" w:firstLineChars="200"/>
        <w:rPr>
          <w:rFonts w:ascii="仿宋_GB2312" w:eastAsia="仿宋_GB2312"/>
          <w:sz w:val="28"/>
          <w:szCs w:val="28"/>
        </w:rPr>
      </w:pPr>
      <w:r>
        <w:rPr>
          <w:rFonts w:hint="eastAsia" w:ascii="仿宋_GB2312" w:eastAsia="仿宋_GB2312"/>
          <w:b/>
          <w:sz w:val="28"/>
          <w:szCs w:val="28"/>
        </w:rPr>
        <w:t xml:space="preserve">第二条 </w:t>
      </w:r>
      <w:r>
        <w:rPr>
          <w:rFonts w:hint="eastAsia" w:ascii="仿宋_GB2312" w:eastAsia="仿宋_GB2312"/>
          <w:sz w:val="28"/>
          <w:szCs w:val="28"/>
        </w:rPr>
        <w:t>本办法适用于北京林业大学草业与草原学院所有具有中华人民共和国国籍的全日制（全脱产学习）学制内研究生。</w:t>
      </w:r>
    </w:p>
    <w:p w14:paraId="5275C317">
      <w:pPr>
        <w:ind w:firstLine="562" w:firstLineChars="200"/>
        <w:rPr>
          <w:rFonts w:ascii="仿宋_GB2312" w:eastAsia="仿宋_GB2312"/>
          <w:sz w:val="28"/>
          <w:szCs w:val="28"/>
        </w:rPr>
      </w:pPr>
      <w:r>
        <w:rPr>
          <w:rFonts w:hint="eastAsia" w:ascii="仿宋_GB2312" w:eastAsia="仿宋_GB2312"/>
          <w:b/>
          <w:sz w:val="28"/>
          <w:szCs w:val="28"/>
        </w:rPr>
        <w:t>第三条</w:t>
      </w:r>
      <w:r>
        <w:rPr>
          <w:rFonts w:hint="eastAsia" w:ascii="仿宋_GB2312" w:eastAsia="仿宋_GB2312"/>
          <w:sz w:val="28"/>
          <w:szCs w:val="28"/>
        </w:rPr>
        <w:t xml:space="preserve"> 评定依据时间为上一年度9月1日到当年8月31日。毕业班学生可</w:t>
      </w:r>
      <w:r>
        <w:rPr>
          <w:rFonts w:ascii="仿宋_GB2312" w:eastAsia="仿宋_GB2312"/>
          <w:sz w:val="28"/>
          <w:szCs w:val="28"/>
        </w:rPr>
        <w:t>放宽至评优工作正式启动之日前。</w:t>
      </w:r>
    </w:p>
    <w:p w14:paraId="44FE4AFE">
      <w:pPr>
        <w:rPr>
          <w:rFonts w:ascii="仿宋_GB2312" w:eastAsia="仿宋_GB2312"/>
          <w:sz w:val="28"/>
          <w:szCs w:val="28"/>
        </w:rPr>
      </w:pPr>
    </w:p>
    <w:p w14:paraId="61C5D648">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第二章 奖励标准与评定条件</w:t>
      </w:r>
    </w:p>
    <w:p w14:paraId="65CD9B50">
      <w:pPr>
        <w:ind w:firstLine="551" w:firstLineChars="196"/>
        <w:rPr>
          <w:rFonts w:ascii="仿宋_GB2312" w:eastAsia="仿宋_GB2312"/>
          <w:sz w:val="28"/>
          <w:szCs w:val="28"/>
        </w:rPr>
      </w:pPr>
      <w:r>
        <w:rPr>
          <w:rFonts w:hint="eastAsia" w:ascii="仿宋_GB2312" w:eastAsia="仿宋_GB2312"/>
          <w:b/>
          <w:sz w:val="28"/>
          <w:szCs w:val="28"/>
        </w:rPr>
        <w:t>第四条</w:t>
      </w:r>
      <w:r>
        <w:rPr>
          <w:rFonts w:hint="eastAsia" w:ascii="仿宋" w:hAnsi="仿宋" w:eastAsia="仿宋"/>
          <w:color w:val="000000"/>
          <w:sz w:val="28"/>
          <w:szCs w:val="28"/>
          <w:shd w:val="clear" w:color="auto" w:fill="FFFFFF"/>
        </w:rPr>
        <w:t xml:space="preserve"> </w:t>
      </w:r>
      <w:r>
        <w:rPr>
          <w:rFonts w:hint="eastAsia" w:ascii="仿宋_GB2312" w:eastAsia="仿宋_GB2312"/>
          <w:sz w:val="28"/>
          <w:szCs w:val="28"/>
        </w:rPr>
        <w:t>博士研究生国家奖学金奖励标准为每年30000元/人；硕士研究生国家奖学金奖励标准为每年20000元/人，当年不可与校长奖学金兼得。</w:t>
      </w:r>
    </w:p>
    <w:p w14:paraId="587FD33C">
      <w:pPr>
        <w:ind w:firstLine="551" w:firstLineChars="196"/>
        <w:rPr>
          <w:rFonts w:ascii="仿宋_GB2312" w:eastAsia="仿宋_GB2312"/>
          <w:sz w:val="28"/>
          <w:szCs w:val="28"/>
        </w:rPr>
      </w:pPr>
      <w:r>
        <w:rPr>
          <w:rFonts w:hint="eastAsia" w:ascii="仿宋_GB2312" w:eastAsia="仿宋_GB2312"/>
          <w:b/>
          <w:sz w:val="28"/>
          <w:szCs w:val="28"/>
        </w:rPr>
        <w:t>第五条</w:t>
      </w:r>
      <w:r>
        <w:rPr>
          <w:rFonts w:hint="eastAsia" w:ascii="仿宋" w:hAnsi="仿宋" w:eastAsia="仿宋"/>
          <w:b/>
          <w:color w:val="000000"/>
          <w:sz w:val="28"/>
          <w:szCs w:val="28"/>
          <w:shd w:val="clear" w:color="auto" w:fill="FFFFFF"/>
        </w:rPr>
        <w:t xml:space="preserve"> </w:t>
      </w:r>
      <w:r>
        <w:rPr>
          <w:rFonts w:hint="eastAsia" w:ascii="仿宋_GB2312" w:eastAsia="仿宋_GB2312"/>
          <w:sz w:val="28"/>
          <w:szCs w:val="28"/>
        </w:rPr>
        <w:t>凡具备以下基本条件，并符合评定标准者，均可申请研究生国家奖学金。</w:t>
      </w:r>
    </w:p>
    <w:p w14:paraId="3C252D7D">
      <w:pPr>
        <w:ind w:firstLine="548" w:firstLineChars="196"/>
        <w:rPr>
          <w:rFonts w:ascii="仿宋_GB2312" w:eastAsia="仿宋_GB2312"/>
          <w:sz w:val="28"/>
          <w:szCs w:val="28"/>
        </w:rPr>
      </w:pPr>
      <w:r>
        <w:rPr>
          <w:rFonts w:hint="eastAsia" w:ascii="仿宋_GB2312" w:eastAsia="仿宋_GB2312"/>
          <w:sz w:val="28"/>
          <w:szCs w:val="28"/>
        </w:rPr>
        <w:t>1</w:t>
      </w:r>
      <w:r>
        <w:rPr>
          <w:rFonts w:hint="eastAsia" w:ascii="仿宋_GB2312" w:eastAsia="仿宋_GB2312"/>
          <w:sz w:val="28"/>
          <w:szCs w:val="28"/>
          <w:lang w:eastAsia="zh-CN"/>
        </w:rPr>
        <w:t>.</w:t>
      </w:r>
      <w:r>
        <w:rPr>
          <w:rFonts w:hint="eastAsia" w:ascii="仿宋_GB2312" w:eastAsia="仿宋_GB2312"/>
          <w:sz w:val="28"/>
          <w:szCs w:val="28"/>
        </w:rPr>
        <w:t>基本条件</w:t>
      </w:r>
    </w:p>
    <w:p w14:paraId="6133BAEF">
      <w:pPr>
        <w:ind w:firstLine="548" w:firstLineChars="196"/>
        <w:rPr>
          <w:rFonts w:ascii="仿宋_GB2312" w:eastAsia="仿宋_GB2312"/>
          <w:sz w:val="28"/>
          <w:szCs w:val="28"/>
        </w:rPr>
      </w:pPr>
      <w:r>
        <w:rPr>
          <w:rFonts w:hint="eastAsia" w:ascii="仿宋_GB2312" w:eastAsia="仿宋_GB2312"/>
          <w:sz w:val="28"/>
          <w:szCs w:val="28"/>
        </w:rPr>
        <w:t>① 热爱社会主义祖国，拥护中国共产党的领导；</w:t>
      </w:r>
    </w:p>
    <w:p w14:paraId="4FD2E6CF">
      <w:pPr>
        <w:ind w:firstLine="548" w:firstLineChars="196"/>
        <w:rPr>
          <w:rFonts w:ascii="仿宋_GB2312" w:eastAsia="仿宋_GB2312"/>
          <w:sz w:val="28"/>
          <w:szCs w:val="28"/>
        </w:rPr>
      </w:pPr>
      <w:r>
        <w:rPr>
          <w:rFonts w:hint="eastAsia" w:ascii="仿宋_GB2312" w:eastAsia="仿宋_GB2312"/>
          <w:sz w:val="28"/>
          <w:szCs w:val="28"/>
        </w:rPr>
        <w:t>② 遵守宪法和法律，遵守高等学校规章制度；</w:t>
      </w:r>
    </w:p>
    <w:p w14:paraId="74B9EFCF">
      <w:pPr>
        <w:ind w:firstLine="548" w:firstLineChars="196"/>
        <w:rPr>
          <w:rFonts w:ascii="仿宋_GB2312" w:eastAsia="仿宋_GB2312"/>
          <w:sz w:val="28"/>
          <w:szCs w:val="28"/>
        </w:rPr>
      </w:pPr>
      <w:r>
        <w:rPr>
          <w:rFonts w:hint="eastAsia" w:ascii="仿宋_GB2312" w:eastAsia="仿宋_GB2312"/>
          <w:sz w:val="28"/>
          <w:szCs w:val="28"/>
        </w:rPr>
        <w:t>③ 诚实守信，道德品质优良；</w:t>
      </w:r>
    </w:p>
    <w:p w14:paraId="6FB72B5B">
      <w:pPr>
        <w:ind w:firstLine="548" w:firstLineChars="196"/>
        <w:rPr>
          <w:rFonts w:ascii="仿宋_GB2312" w:eastAsia="仿宋_GB2312"/>
          <w:sz w:val="28"/>
          <w:szCs w:val="28"/>
        </w:rPr>
      </w:pPr>
      <w:r>
        <w:rPr>
          <w:rFonts w:hint="eastAsia" w:ascii="仿宋_GB2312" w:eastAsia="仿宋_GB2312"/>
          <w:sz w:val="28"/>
          <w:szCs w:val="28"/>
        </w:rPr>
        <w:fldChar w:fldCharType="begin"/>
      </w:r>
      <w:r>
        <w:rPr>
          <w:rFonts w:hint="eastAsia" w:ascii="仿宋_GB2312" w:eastAsia="仿宋_GB2312"/>
          <w:sz w:val="28"/>
          <w:szCs w:val="28"/>
        </w:rPr>
        <w:instrText xml:space="preserve">= 4 \* GB3</w:instrText>
      </w:r>
      <w:r>
        <w:rPr>
          <w:rFonts w:hint="eastAsia" w:ascii="仿宋_GB2312" w:eastAsia="仿宋_GB2312"/>
          <w:sz w:val="28"/>
          <w:szCs w:val="28"/>
        </w:rPr>
        <w:fldChar w:fldCharType="separate"/>
      </w:r>
      <w:r>
        <w:rPr>
          <w:rFonts w:hint="eastAsia" w:ascii="仿宋_GB2312" w:eastAsia="仿宋_GB2312"/>
          <w:sz w:val="28"/>
          <w:szCs w:val="28"/>
        </w:rPr>
        <w:t>④</w:t>
      </w:r>
      <w:r>
        <w:rPr>
          <w:rFonts w:hint="eastAsia" w:ascii="仿宋_GB2312" w:eastAsia="仿宋_GB2312"/>
          <w:sz w:val="28"/>
          <w:szCs w:val="28"/>
        </w:rPr>
        <w:fldChar w:fldCharType="end"/>
      </w:r>
      <w:r>
        <w:rPr>
          <w:rFonts w:hint="eastAsia" w:ascii="仿宋_GB2312" w:eastAsia="仿宋_GB2312"/>
          <w:sz w:val="28"/>
          <w:szCs w:val="28"/>
        </w:rPr>
        <w:t xml:space="preserve"> 关心集体，团结同学；</w:t>
      </w:r>
    </w:p>
    <w:p w14:paraId="5120BDE4">
      <w:pPr>
        <w:ind w:firstLine="548" w:firstLineChars="196"/>
        <w:rPr>
          <w:rFonts w:ascii="仿宋_GB2312" w:eastAsia="仿宋_GB2312"/>
          <w:color w:val="FF0000"/>
          <w:sz w:val="28"/>
          <w:szCs w:val="28"/>
        </w:rPr>
      </w:pPr>
      <w:r>
        <w:rPr>
          <w:rFonts w:hint="eastAsia" w:ascii="仿宋_GB2312" w:eastAsia="仿宋_GB2312"/>
          <w:sz w:val="28"/>
          <w:szCs w:val="28"/>
        </w:rPr>
        <w:t>⑤ 至少有一次院级以上学术论坛的学术报告，或学校、学院、学科组织的学术成长交流报告。</w:t>
      </w:r>
    </w:p>
    <w:p w14:paraId="3CBB4DCB">
      <w:pPr>
        <w:ind w:firstLine="548" w:firstLineChars="196"/>
        <w:rPr>
          <w:rFonts w:ascii="仿宋_GB2312" w:eastAsia="仿宋_GB2312"/>
          <w:sz w:val="28"/>
          <w:szCs w:val="28"/>
        </w:rPr>
      </w:pPr>
      <w:r>
        <w:rPr>
          <w:rFonts w:hint="eastAsia" w:ascii="仿宋_GB2312" w:eastAsia="仿宋_GB2312"/>
          <w:sz w:val="28"/>
          <w:szCs w:val="28"/>
        </w:rPr>
        <w:t>2.有下列情况之一者不能参加本年度学业奖学金的评定：</w:t>
      </w:r>
    </w:p>
    <w:p w14:paraId="6DC5B509">
      <w:pPr>
        <w:ind w:firstLine="548" w:firstLineChars="196"/>
        <w:rPr>
          <w:rFonts w:ascii="仿宋_GB2312" w:eastAsia="仿宋_GB2312"/>
          <w:sz w:val="28"/>
          <w:szCs w:val="28"/>
        </w:rPr>
      </w:pPr>
      <w:r>
        <w:rPr>
          <w:rFonts w:hint="eastAsia" w:ascii="仿宋_GB2312" w:eastAsia="仿宋_GB2312"/>
          <w:sz w:val="28"/>
          <w:szCs w:val="28"/>
        </w:rPr>
        <w:t>① 违反国家法律、校纪校规受到纪律处分者；</w:t>
      </w:r>
    </w:p>
    <w:p w14:paraId="39F86D85">
      <w:pPr>
        <w:ind w:firstLine="548" w:firstLineChars="196"/>
        <w:rPr>
          <w:rFonts w:ascii="仿宋_GB2312" w:eastAsia="仿宋_GB2312"/>
          <w:sz w:val="28"/>
          <w:szCs w:val="28"/>
        </w:rPr>
      </w:pPr>
      <w:r>
        <w:rPr>
          <w:rFonts w:hint="eastAsia" w:ascii="仿宋_GB2312" w:eastAsia="仿宋_GB2312"/>
          <w:sz w:val="28"/>
          <w:szCs w:val="28"/>
        </w:rPr>
        <w:t>② 有抄袭剽窃、弄虚作假等学术不端行为者；</w:t>
      </w:r>
    </w:p>
    <w:p w14:paraId="1A6A51FE">
      <w:pPr>
        <w:ind w:firstLine="548" w:firstLineChars="196"/>
        <w:rPr>
          <w:rFonts w:ascii="仿宋_GB2312" w:eastAsia="仿宋_GB2312"/>
          <w:sz w:val="28"/>
          <w:szCs w:val="28"/>
        </w:rPr>
      </w:pPr>
      <w:r>
        <w:rPr>
          <w:rFonts w:hint="eastAsia" w:ascii="仿宋_GB2312" w:eastAsia="仿宋_GB2312"/>
          <w:sz w:val="28"/>
          <w:szCs w:val="28"/>
        </w:rPr>
        <w:t>③ 学籍状态处于休学、保留学籍者；</w:t>
      </w:r>
    </w:p>
    <w:p w14:paraId="7E86B0CC">
      <w:pPr>
        <w:ind w:firstLine="548" w:firstLineChars="196"/>
        <w:rPr>
          <w:rFonts w:ascii="仿宋_GB2312" w:eastAsia="仿宋_GB2312"/>
          <w:sz w:val="28"/>
          <w:szCs w:val="28"/>
        </w:rPr>
      </w:pPr>
      <w:r>
        <w:rPr>
          <w:rFonts w:hint="eastAsia" w:ascii="仿宋_GB2312" w:eastAsia="仿宋_GB2312"/>
          <w:sz w:val="28"/>
          <w:szCs w:val="28"/>
        </w:rPr>
        <w:t>④ 有课程不及格者；</w:t>
      </w:r>
    </w:p>
    <w:p w14:paraId="792C4DFF">
      <w:pPr>
        <w:ind w:firstLine="548" w:firstLineChars="196"/>
        <w:rPr>
          <w:rFonts w:ascii="仿宋_GB2312" w:eastAsia="仿宋_GB2312"/>
          <w:sz w:val="28"/>
          <w:szCs w:val="28"/>
        </w:rPr>
      </w:pPr>
      <w:r>
        <w:rPr>
          <w:rFonts w:hint="eastAsia" w:ascii="仿宋_GB2312" w:eastAsia="仿宋_GB2312"/>
          <w:sz w:val="28"/>
          <w:szCs w:val="28"/>
        </w:rPr>
        <w:t>⑤ 未按时办理注册手续等违反研究生学籍管理规定者；</w:t>
      </w:r>
    </w:p>
    <w:p w14:paraId="74D07AC6">
      <w:pPr>
        <w:ind w:firstLine="548" w:firstLineChars="196"/>
        <w:rPr>
          <w:rFonts w:ascii="仿宋_GB2312" w:eastAsia="仿宋_GB2312"/>
          <w:sz w:val="28"/>
          <w:szCs w:val="28"/>
        </w:rPr>
      </w:pPr>
      <w:r>
        <w:rPr>
          <w:rFonts w:hint="eastAsia" w:ascii="仿宋_GB2312" w:eastAsia="仿宋_GB2312"/>
          <w:sz w:val="28"/>
          <w:szCs w:val="28"/>
        </w:rPr>
        <w:t>⑥ 在培养环节、科学研究和学术诚信等方面表现差者。</w:t>
      </w:r>
    </w:p>
    <w:p w14:paraId="025B4A47">
      <w:pPr>
        <w:ind w:firstLine="548" w:firstLineChars="196"/>
        <w:rPr>
          <w:rFonts w:ascii="仿宋_GB2312" w:eastAsia="仿宋_GB2312"/>
          <w:sz w:val="28"/>
          <w:szCs w:val="28"/>
        </w:rPr>
      </w:pPr>
      <w:r>
        <w:rPr>
          <w:rFonts w:hint="eastAsia" w:ascii="仿宋_GB2312" w:eastAsia="仿宋_GB2312"/>
          <w:sz w:val="28"/>
          <w:szCs w:val="28"/>
        </w:rPr>
        <w:t>3</w:t>
      </w:r>
      <w:r>
        <w:rPr>
          <w:rFonts w:hint="eastAsia" w:ascii="仿宋_GB2312" w:eastAsia="仿宋_GB2312"/>
          <w:sz w:val="28"/>
          <w:szCs w:val="28"/>
          <w:lang w:eastAsia="zh-CN"/>
        </w:rPr>
        <w:t>.</w:t>
      </w:r>
      <w:r>
        <w:rPr>
          <w:rFonts w:hint="eastAsia" w:ascii="仿宋_GB2312" w:eastAsia="仿宋_GB2312"/>
          <w:sz w:val="28"/>
          <w:szCs w:val="28"/>
        </w:rPr>
        <w:t>参评标准</w:t>
      </w:r>
    </w:p>
    <w:p w14:paraId="11C288AB">
      <w:pPr>
        <w:ind w:firstLine="560" w:firstLineChars="200"/>
        <w:jc w:val="left"/>
        <w:rPr>
          <w:rFonts w:ascii="仿宋_GB2312" w:eastAsia="仿宋_GB2312"/>
          <w:sz w:val="28"/>
          <w:szCs w:val="28"/>
        </w:rPr>
      </w:pPr>
      <w:r>
        <w:rPr>
          <w:rFonts w:hint="eastAsia" w:ascii="仿宋_GB2312" w:eastAsia="仿宋_GB2312"/>
          <w:sz w:val="28"/>
          <w:szCs w:val="28"/>
        </w:rPr>
        <w:t>①博士研究生：第二学年评优时</w:t>
      </w:r>
      <w:r>
        <w:rPr>
          <w:rFonts w:ascii="仿宋_GB2312" w:eastAsia="仿宋_GB2312"/>
          <w:sz w:val="28"/>
          <w:szCs w:val="28"/>
        </w:rPr>
        <w:t>第一学年</w:t>
      </w:r>
      <w:r>
        <w:rPr>
          <w:rFonts w:hint="eastAsia" w:ascii="仿宋_GB2312" w:eastAsia="仿宋_GB2312"/>
          <w:sz w:val="28"/>
          <w:szCs w:val="28"/>
        </w:rPr>
        <w:t>所修</w:t>
      </w:r>
      <w:r>
        <w:rPr>
          <w:rFonts w:ascii="仿宋_GB2312" w:eastAsia="仿宋_GB2312"/>
          <w:sz w:val="28"/>
          <w:szCs w:val="28"/>
        </w:rPr>
        <w:t>课程</w:t>
      </w:r>
      <w:r>
        <w:rPr>
          <w:rFonts w:hint="eastAsia" w:ascii="仿宋_GB2312" w:eastAsia="仿宋_GB2312"/>
          <w:sz w:val="28"/>
          <w:szCs w:val="28"/>
        </w:rPr>
        <w:t>平均</w:t>
      </w:r>
      <w:r>
        <w:rPr>
          <w:rFonts w:ascii="仿宋_GB2312" w:eastAsia="仿宋_GB2312"/>
          <w:sz w:val="28"/>
          <w:szCs w:val="28"/>
        </w:rPr>
        <w:t>学分</w:t>
      </w:r>
      <w:r>
        <w:rPr>
          <w:rFonts w:hint="eastAsia" w:ascii="仿宋_GB2312" w:eastAsia="仿宋_GB2312"/>
          <w:sz w:val="28"/>
          <w:szCs w:val="28"/>
        </w:rPr>
        <w:t>积</w:t>
      </w:r>
      <w:r>
        <w:rPr>
          <w:rFonts w:ascii="仿宋_GB2312" w:eastAsia="仿宋_GB2312"/>
          <w:sz w:val="28"/>
          <w:szCs w:val="28"/>
        </w:rPr>
        <w:t>达到</w:t>
      </w:r>
      <w:r>
        <w:rPr>
          <w:rFonts w:hint="eastAsia" w:ascii="仿宋_GB2312" w:eastAsia="仿宋_GB2312"/>
          <w:sz w:val="28"/>
          <w:szCs w:val="28"/>
        </w:rPr>
        <w:t>85分以上；</w:t>
      </w:r>
      <w:r>
        <w:rPr>
          <w:rFonts w:ascii="仿宋_GB2312" w:eastAsia="仿宋_GB2312"/>
          <w:sz w:val="28"/>
          <w:szCs w:val="28"/>
        </w:rPr>
        <w:t>需</w:t>
      </w:r>
      <w:r>
        <w:rPr>
          <w:rFonts w:hint="eastAsia" w:ascii="仿宋_GB2312" w:eastAsia="仿宋_GB2312"/>
          <w:sz w:val="28"/>
          <w:szCs w:val="28"/>
        </w:rPr>
        <w:t>至少</w:t>
      </w:r>
      <w:r>
        <w:rPr>
          <w:rFonts w:ascii="仿宋_GB2312" w:eastAsia="仿宋_GB2312"/>
          <w:sz w:val="28"/>
          <w:szCs w:val="28"/>
        </w:rPr>
        <w:t>发表</w:t>
      </w:r>
      <w:r>
        <w:rPr>
          <w:rFonts w:hint="eastAsia" w:ascii="仿宋_GB2312" w:eastAsia="仿宋_GB2312"/>
          <w:sz w:val="28"/>
          <w:szCs w:val="28"/>
        </w:rPr>
        <w:t>1篇（SCI或EI）索引收录期刊的</w:t>
      </w:r>
      <w:r>
        <w:rPr>
          <w:rFonts w:ascii="仿宋_GB2312" w:eastAsia="仿宋_GB2312"/>
          <w:sz w:val="28"/>
          <w:szCs w:val="28"/>
        </w:rPr>
        <w:t>学术论文</w:t>
      </w:r>
      <w:r>
        <w:rPr>
          <w:rFonts w:hint="eastAsia" w:ascii="仿宋_GB2312" w:eastAsia="仿宋_GB2312"/>
          <w:sz w:val="28"/>
          <w:szCs w:val="28"/>
        </w:rPr>
        <w:t>，</w:t>
      </w:r>
      <w:r>
        <w:rPr>
          <w:rFonts w:ascii="仿宋_GB2312" w:eastAsia="仿宋_GB2312"/>
          <w:sz w:val="28"/>
          <w:szCs w:val="28"/>
        </w:rPr>
        <w:t>或至少</w:t>
      </w:r>
      <w:r>
        <w:rPr>
          <w:rFonts w:hint="eastAsia" w:ascii="仿宋_GB2312" w:eastAsia="仿宋_GB2312"/>
          <w:sz w:val="28"/>
          <w:szCs w:val="28"/>
        </w:rPr>
        <w:t>有1</w:t>
      </w:r>
      <w:r>
        <w:rPr>
          <w:rFonts w:ascii="仿宋_GB2312" w:eastAsia="仿宋_GB2312"/>
          <w:sz w:val="28"/>
          <w:szCs w:val="28"/>
        </w:rPr>
        <w:t>项发明专利</w:t>
      </w:r>
      <w:r>
        <w:rPr>
          <w:rFonts w:hint="eastAsia" w:ascii="仿宋_GB2312" w:eastAsia="仿宋_GB2312"/>
          <w:sz w:val="28"/>
          <w:szCs w:val="28"/>
        </w:rPr>
        <w:t>，或至少有1项新品种权，</w:t>
      </w:r>
      <w:bookmarkStart w:id="0" w:name="_Hlk525309630"/>
      <w:r>
        <w:rPr>
          <w:rFonts w:hint="eastAsia" w:ascii="仿宋_GB2312" w:eastAsia="仿宋_GB2312"/>
          <w:sz w:val="28"/>
          <w:szCs w:val="28"/>
        </w:rPr>
        <w:t>或至少有1项标准（国家标准、地方标准、行业标准）</w:t>
      </w:r>
      <w:bookmarkEnd w:id="0"/>
      <w:r>
        <w:rPr>
          <w:rFonts w:hint="eastAsia" w:ascii="仿宋_GB2312" w:eastAsia="仿宋_GB2312"/>
          <w:sz w:val="28"/>
          <w:szCs w:val="28"/>
        </w:rPr>
        <w:t>；</w:t>
      </w:r>
      <w:r>
        <w:rPr>
          <w:rFonts w:ascii="仿宋_GB2312" w:eastAsia="仿宋_GB2312"/>
          <w:sz w:val="28"/>
          <w:szCs w:val="28"/>
        </w:rPr>
        <w:t xml:space="preserve"> </w:t>
      </w:r>
    </w:p>
    <w:p w14:paraId="67B028E3">
      <w:pPr>
        <w:ind w:firstLine="548" w:firstLineChars="196"/>
        <w:rPr>
          <w:rFonts w:ascii="仿宋_GB2312" w:eastAsia="仿宋_GB2312"/>
          <w:sz w:val="28"/>
          <w:szCs w:val="28"/>
        </w:rPr>
      </w:pPr>
      <w:r>
        <w:rPr>
          <w:rFonts w:hint="eastAsia" w:ascii="仿宋_GB2312" w:eastAsia="仿宋_GB2312"/>
          <w:sz w:val="28"/>
          <w:szCs w:val="28"/>
        </w:rPr>
        <w:t>②科学硕士研究生：综合量化成绩在专业排名前30%</w:t>
      </w:r>
      <w:r>
        <w:rPr>
          <w:rFonts w:hint="eastAsia" w:ascii="仿宋_GB2312" w:eastAsia="仿宋_GB2312"/>
          <w:sz w:val="28"/>
          <w:szCs w:val="28"/>
          <w:lang w:eastAsia="zh-CN"/>
        </w:rPr>
        <w:t>（</w:t>
      </w:r>
      <w:r>
        <w:rPr>
          <w:rFonts w:hint="eastAsia" w:ascii="仿宋_GB2312" w:eastAsia="仿宋_GB2312"/>
          <w:sz w:val="28"/>
          <w:szCs w:val="28"/>
          <w:lang w:val="en-US" w:eastAsia="zh-CN"/>
        </w:rPr>
        <w:t>只针对研二学生</w:t>
      </w:r>
      <w:r>
        <w:rPr>
          <w:rFonts w:hint="eastAsia" w:ascii="仿宋_GB2312" w:eastAsia="仿宋_GB2312"/>
          <w:sz w:val="28"/>
          <w:szCs w:val="28"/>
          <w:lang w:eastAsia="zh-CN"/>
        </w:rPr>
        <w:t>）</w:t>
      </w:r>
      <w:r>
        <w:rPr>
          <w:rFonts w:hint="eastAsia" w:ascii="仿宋_GB2312" w:eastAsia="仿宋_GB2312"/>
          <w:sz w:val="28"/>
          <w:szCs w:val="28"/>
        </w:rPr>
        <w:t>；至少发表1篇（SCI或EI或CSCD（C库））索引收录期刊的学术论文，或至少有1项发明专利，或至少有1项新品种权，或至少有1项标准（国家标准、地方标准、行业标准）；</w:t>
      </w:r>
    </w:p>
    <w:p w14:paraId="631FEABD">
      <w:pPr>
        <w:ind w:firstLine="548" w:firstLineChars="196"/>
        <w:rPr>
          <w:rFonts w:ascii="仿宋_GB2312" w:eastAsia="仿宋_GB2312"/>
          <w:sz w:val="28"/>
          <w:szCs w:val="28"/>
        </w:rPr>
      </w:pPr>
      <w:r>
        <w:rPr>
          <w:rFonts w:hint="eastAsia" w:ascii="仿宋_GB2312" w:eastAsia="仿宋_GB2312"/>
          <w:sz w:val="28"/>
          <w:szCs w:val="28"/>
        </w:rPr>
        <w:t>③专业硕士研究生：综合素质高，创新能力强，参与科研实践与实习工作，有一定的学术创新成果。</w:t>
      </w:r>
    </w:p>
    <w:p w14:paraId="3C3B259B">
      <w:pPr>
        <w:rPr>
          <w:rFonts w:ascii="仿宋" w:hAnsi="仿宋" w:eastAsia="仿宋"/>
          <w:b/>
          <w:bCs/>
          <w:color w:val="FF0000"/>
          <w:sz w:val="24"/>
          <w:szCs w:val="24"/>
        </w:rPr>
      </w:pPr>
      <w:r>
        <w:rPr>
          <w:rFonts w:hint="eastAsia" w:ascii="仿宋" w:hAnsi="仿宋" w:eastAsia="仿宋"/>
          <w:b/>
          <w:bCs/>
          <w:color w:val="FF0000"/>
          <w:sz w:val="24"/>
          <w:szCs w:val="24"/>
        </w:rPr>
        <w:t>说明</w:t>
      </w:r>
      <w:r>
        <w:rPr>
          <w:rFonts w:ascii="仿宋" w:hAnsi="仿宋" w:eastAsia="仿宋"/>
          <w:b/>
          <w:bCs/>
          <w:color w:val="FF0000"/>
          <w:sz w:val="24"/>
          <w:szCs w:val="24"/>
        </w:rPr>
        <w:t>：</w:t>
      </w:r>
    </w:p>
    <w:p w14:paraId="5CBAF8D1">
      <w:pPr>
        <w:spacing w:line="320" w:lineRule="exact"/>
        <w:ind w:firstLine="482" w:firstLineChars="200"/>
        <w:jc w:val="left"/>
        <w:rPr>
          <w:rFonts w:ascii="仿宋" w:hAnsi="仿宋" w:eastAsia="仿宋"/>
          <w:b/>
          <w:color w:val="FF0000"/>
          <w:sz w:val="24"/>
          <w:szCs w:val="24"/>
        </w:rPr>
      </w:pPr>
      <w:r>
        <w:rPr>
          <w:rFonts w:hint="eastAsia" w:ascii="仿宋" w:hAnsi="仿宋" w:eastAsia="仿宋"/>
          <w:b/>
          <w:color w:val="FF0000"/>
          <w:sz w:val="24"/>
          <w:szCs w:val="24"/>
        </w:rPr>
        <w:t>1</w:t>
      </w:r>
      <w:r>
        <w:rPr>
          <w:rFonts w:hint="eastAsia" w:ascii="仿宋" w:hAnsi="仿宋" w:eastAsia="仿宋"/>
          <w:b/>
          <w:color w:val="FF0000"/>
          <w:sz w:val="24"/>
          <w:szCs w:val="24"/>
          <w:lang w:eastAsia="zh-CN"/>
        </w:rPr>
        <w:t>.</w:t>
      </w:r>
      <w:r>
        <w:rPr>
          <w:rFonts w:hint="eastAsia" w:ascii="仿宋" w:hAnsi="仿宋" w:eastAsia="仿宋"/>
          <w:b/>
          <w:color w:val="FF0000"/>
          <w:sz w:val="24"/>
          <w:szCs w:val="24"/>
        </w:rPr>
        <w:t>学术论文要求以第一作者发表，且第一作者和责任作者单位均为北京林业大学；获得发明专利、新品种权、标准认定排名第一者，且第一完成单位为北京林业大学，如导师排名第一，学生排名第二，学生可按排名第一。</w:t>
      </w:r>
    </w:p>
    <w:p w14:paraId="63FC9A12">
      <w:pPr>
        <w:spacing w:line="320" w:lineRule="exact"/>
        <w:ind w:firstLine="482" w:firstLineChars="200"/>
        <w:jc w:val="left"/>
        <w:rPr>
          <w:rFonts w:ascii="仿宋" w:hAnsi="仿宋" w:eastAsia="仿宋"/>
          <w:b/>
          <w:color w:val="FF0000"/>
          <w:sz w:val="24"/>
          <w:szCs w:val="24"/>
        </w:rPr>
      </w:pPr>
      <w:r>
        <w:rPr>
          <w:rFonts w:hint="eastAsia" w:ascii="仿宋" w:hAnsi="仿宋" w:eastAsia="仿宋"/>
          <w:b/>
          <w:color w:val="FF0000"/>
          <w:sz w:val="24"/>
          <w:szCs w:val="24"/>
        </w:rPr>
        <w:t>2</w:t>
      </w:r>
      <w:r>
        <w:rPr>
          <w:rFonts w:hint="eastAsia" w:ascii="仿宋" w:hAnsi="仿宋" w:eastAsia="仿宋"/>
          <w:b/>
          <w:color w:val="FF0000"/>
          <w:sz w:val="24"/>
          <w:szCs w:val="24"/>
          <w:lang w:eastAsia="zh-CN"/>
        </w:rPr>
        <w:t>.</w:t>
      </w:r>
      <w:r>
        <w:rPr>
          <w:rFonts w:hint="eastAsia" w:ascii="仿宋" w:hAnsi="仿宋" w:eastAsia="仿宋"/>
          <w:b/>
          <w:color w:val="FF0000"/>
          <w:sz w:val="24"/>
          <w:szCs w:val="24"/>
        </w:rPr>
        <w:t>学术论文要求正式见刊或在线发表，专利和新品种权要求取得专利证书、标准要求正式获批(毕业班学生文章见刊或在线发表时间可在</w:t>
      </w:r>
      <w:r>
        <w:rPr>
          <w:rFonts w:hint="eastAsia" w:ascii="仿宋" w:hAnsi="仿宋" w:eastAsia="仿宋"/>
          <w:b/>
          <w:color w:val="FF0000"/>
          <w:sz w:val="24"/>
          <w:szCs w:val="24"/>
          <w:lang w:val="en-US" w:eastAsia="zh-CN"/>
        </w:rPr>
        <w:t>评优工作启动之日</w:t>
      </w:r>
      <w:r>
        <w:rPr>
          <w:rFonts w:hint="eastAsia" w:ascii="仿宋" w:hAnsi="仿宋" w:eastAsia="仿宋"/>
          <w:b/>
          <w:color w:val="FF0000"/>
          <w:sz w:val="24"/>
          <w:szCs w:val="24"/>
        </w:rPr>
        <w:t>、专利权获得授予通知书即可)。</w:t>
      </w:r>
    </w:p>
    <w:p w14:paraId="582BB878">
      <w:pPr>
        <w:spacing w:line="320" w:lineRule="exact"/>
        <w:ind w:firstLine="482" w:firstLineChars="200"/>
        <w:jc w:val="left"/>
        <w:rPr>
          <w:rFonts w:ascii="仿宋" w:hAnsi="仿宋" w:eastAsia="仿宋"/>
          <w:b/>
          <w:bCs/>
          <w:color w:val="FF0000"/>
          <w:sz w:val="24"/>
          <w:szCs w:val="24"/>
        </w:rPr>
      </w:pPr>
      <w:r>
        <w:rPr>
          <w:rFonts w:ascii="仿宋" w:hAnsi="仿宋" w:eastAsia="仿宋"/>
          <w:b/>
          <w:color w:val="FF0000"/>
          <w:sz w:val="24"/>
          <w:szCs w:val="24"/>
        </w:rPr>
        <w:t>3</w:t>
      </w:r>
      <w:r>
        <w:rPr>
          <w:rFonts w:hint="eastAsia" w:ascii="仿宋" w:hAnsi="仿宋" w:eastAsia="仿宋"/>
          <w:b/>
          <w:color w:val="FF0000"/>
          <w:sz w:val="24"/>
          <w:szCs w:val="24"/>
          <w:lang w:eastAsia="zh-CN"/>
        </w:rPr>
        <w:t>.</w:t>
      </w:r>
      <w:r>
        <w:rPr>
          <w:rFonts w:hint="eastAsia" w:ascii="仿宋" w:hAnsi="仿宋" w:eastAsia="仿宋"/>
          <w:b/>
          <w:color w:val="FF0000"/>
          <w:sz w:val="24"/>
          <w:szCs w:val="24"/>
        </w:rPr>
        <w:t>上学年</w:t>
      </w:r>
      <w:r>
        <w:rPr>
          <w:rFonts w:ascii="仿宋" w:hAnsi="仿宋" w:eastAsia="仿宋"/>
          <w:b/>
          <w:color w:val="FF0000"/>
          <w:sz w:val="24"/>
          <w:szCs w:val="24"/>
        </w:rPr>
        <w:t>评优</w:t>
      </w:r>
      <w:r>
        <w:rPr>
          <w:rFonts w:hint="eastAsia" w:ascii="仿宋" w:hAnsi="仿宋" w:eastAsia="仿宋"/>
          <w:b/>
          <w:color w:val="FF0000"/>
          <w:sz w:val="24"/>
          <w:szCs w:val="24"/>
        </w:rPr>
        <w:t>中</w:t>
      </w:r>
      <w:r>
        <w:rPr>
          <w:rFonts w:ascii="仿宋" w:hAnsi="仿宋" w:eastAsia="仿宋"/>
          <w:b/>
          <w:color w:val="FF0000"/>
          <w:sz w:val="24"/>
          <w:szCs w:val="24"/>
        </w:rPr>
        <w:t>使用过的</w:t>
      </w:r>
      <w:r>
        <w:rPr>
          <w:rFonts w:hint="eastAsia" w:ascii="仿宋" w:hAnsi="仿宋" w:eastAsia="仿宋"/>
          <w:b/>
          <w:color w:val="FF0000"/>
          <w:sz w:val="24"/>
          <w:szCs w:val="24"/>
        </w:rPr>
        <w:t>学术成果，此次评优不可重复提交使用，否则视为</w:t>
      </w:r>
      <w:r>
        <w:rPr>
          <w:rFonts w:ascii="仿宋" w:hAnsi="仿宋" w:eastAsia="仿宋"/>
          <w:b/>
          <w:color w:val="FF0000"/>
          <w:sz w:val="24"/>
          <w:szCs w:val="24"/>
        </w:rPr>
        <w:t>学术不端处理</w:t>
      </w:r>
      <w:r>
        <w:rPr>
          <w:rFonts w:hint="eastAsia" w:ascii="仿宋" w:hAnsi="仿宋" w:eastAsia="仿宋"/>
          <w:b/>
          <w:color w:val="FF0000"/>
          <w:sz w:val="24"/>
          <w:szCs w:val="24"/>
        </w:rPr>
        <w:t>。</w:t>
      </w:r>
      <w:bookmarkStart w:id="1" w:name="_GoBack"/>
      <w:bookmarkEnd w:id="1"/>
    </w:p>
    <w:p w14:paraId="19A2AE94">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第三章 组织机构</w:t>
      </w:r>
    </w:p>
    <w:p w14:paraId="38C17216">
      <w:pPr>
        <w:ind w:firstLine="551" w:firstLineChars="196"/>
        <w:rPr>
          <w:rFonts w:ascii="仿宋_GB2312" w:eastAsia="仿宋_GB2312"/>
          <w:sz w:val="28"/>
          <w:szCs w:val="28"/>
        </w:rPr>
      </w:pPr>
      <w:r>
        <w:rPr>
          <w:rFonts w:hint="eastAsia" w:ascii="仿宋_GB2312" w:eastAsia="仿宋_GB2312"/>
          <w:b/>
          <w:sz w:val="28"/>
          <w:szCs w:val="28"/>
        </w:rPr>
        <w:t>第六条</w:t>
      </w:r>
      <w:r>
        <w:rPr>
          <w:rFonts w:hint="eastAsia" w:ascii="仿宋" w:hAnsi="仿宋" w:eastAsia="仿宋"/>
          <w:b/>
          <w:sz w:val="28"/>
        </w:rPr>
        <w:t xml:space="preserve"> </w:t>
      </w:r>
      <w:r>
        <w:rPr>
          <w:rFonts w:hint="eastAsia" w:ascii="仿宋_GB2312" w:eastAsia="仿宋_GB2312"/>
          <w:sz w:val="28"/>
          <w:szCs w:val="28"/>
        </w:rPr>
        <w:t>学院成立奖学金评审委员会,由</w:t>
      </w:r>
      <w:r>
        <w:rPr>
          <w:rFonts w:hint="eastAsia" w:ascii="仿宋_GB2312" w:eastAsia="仿宋_GB2312"/>
          <w:sz w:val="28"/>
          <w:szCs w:val="28"/>
          <w:lang w:val="en-US" w:eastAsia="zh-CN"/>
        </w:rPr>
        <w:t>党委</w:t>
      </w:r>
      <w:r>
        <w:rPr>
          <w:rFonts w:hint="eastAsia" w:ascii="仿宋_GB2312" w:eastAsia="仿宋_GB2312"/>
          <w:sz w:val="28"/>
          <w:szCs w:val="28"/>
        </w:rPr>
        <w:t>书记</w:t>
      </w:r>
      <w:r>
        <w:rPr>
          <w:rFonts w:ascii="仿宋_GB2312" w:eastAsia="仿宋_GB2312"/>
          <w:sz w:val="28"/>
          <w:szCs w:val="28"/>
        </w:rPr>
        <w:t>、</w:t>
      </w:r>
      <w:r>
        <w:rPr>
          <w:rFonts w:hint="eastAsia" w:ascii="仿宋_GB2312" w:eastAsia="仿宋_GB2312"/>
          <w:sz w:val="28"/>
          <w:szCs w:val="28"/>
        </w:rPr>
        <w:t>院长担任评审委员会主任，由院领导、各教研室主任和学术委员会代表担任委员。主要负责全面指导和监督研究生奖学金评定工作，研究决定有关评定工作的重要问题。</w:t>
      </w:r>
    </w:p>
    <w:p w14:paraId="2C9030A8">
      <w:pPr>
        <w:ind w:firstLine="548" w:firstLineChars="196"/>
        <w:rPr>
          <w:rFonts w:ascii="仿宋_GB2312" w:eastAsia="仿宋_GB2312"/>
          <w:sz w:val="28"/>
          <w:szCs w:val="28"/>
        </w:rPr>
      </w:pPr>
      <w:r>
        <w:rPr>
          <w:rFonts w:hint="eastAsia" w:ascii="仿宋_GB2312" w:eastAsia="仿宋_GB2312"/>
          <w:sz w:val="28"/>
          <w:szCs w:val="28"/>
        </w:rPr>
        <w:t>评审委员会下设办公室，由学院研究生培养、科研管理和研究生日常管理工作人员组成。主要负责完成评优工作的组织、协调、审核及公示。</w:t>
      </w:r>
    </w:p>
    <w:p w14:paraId="5FC6C2EF">
      <w:pPr>
        <w:ind w:firstLine="551" w:firstLineChars="196"/>
        <w:rPr>
          <w:rFonts w:ascii="仿宋_GB2312" w:eastAsia="仿宋_GB2312"/>
          <w:sz w:val="28"/>
          <w:szCs w:val="28"/>
        </w:rPr>
      </w:pPr>
      <w:r>
        <w:rPr>
          <w:rFonts w:hint="eastAsia" w:ascii="仿宋_GB2312" w:eastAsia="仿宋_GB2312"/>
          <w:b/>
          <w:sz w:val="28"/>
          <w:szCs w:val="28"/>
        </w:rPr>
        <w:t>第七条</w:t>
      </w:r>
      <w:r>
        <w:rPr>
          <w:rFonts w:hint="eastAsia" w:ascii="仿宋" w:hAnsi="仿宋" w:eastAsia="仿宋"/>
          <w:b/>
          <w:sz w:val="28"/>
        </w:rPr>
        <w:t xml:space="preserve"> </w:t>
      </w:r>
      <w:r>
        <w:rPr>
          <w:rFonts w:hint="eastAsia" w:ascii="仿宋_GB2312" w:eastAsia="仿宋_GB2312"/>
          <w:sz w:val="28"/>
          <w:szCs w:val="28"/>
        </w:rPr>
        <w:t>成立研究生奖学金评定工作小组。由学科负责人、教研室主任、</w:t>
      </w:r>
      <w:r>
        <w:rPr>
          <w:rFonts w:hint="eastAsia" w:ascii="仿宋_GB2312" w:eastAsia="仿宋_GB2312"/>
          <w:sz w:val="28"/>
          <w:szCs w:val="28"/>
          <w:lang w:val="en-US" w:eastAsia="zh-CN"/>
        </w:rPr>
        <w:t>副教授及以上人员</w:t>
      </w:r>
      <w:r>
        <w:rPr>
          <w:rFonts w:hint="eastAsia" w:ascii="仿宋_GB2312" w:eastAsia="仿宋_GB2312"/>
          <w:sz w:val="28"/>
          <w:szCs w:val="28"/>
        </w:rPr>
        <w:t>组成，人数应超过本学科研究生导师人数的三分之二。</w:t>
      </w:r>
    </w:p>
    <w:p w14:paraId="236DCDE8">
      <w:pPr>
        <w:ind w:firstLine="548" w:firstLineChars="196"/>
        <w:rPr>
          <w:rFonts w:ascii="仿宋_GB2312" w:eastAsia="仿宋_GB2312"/>
          <w:sz w:val="28"/>
          <w:szCs w:val="28"/>
        </w:rPr>
      </w:pPr>
      <w:r>
        <w:rPr>
          <w:rFonts w:hint="eastAsia" w:ascii="仿宋_GB2312" w:eastAsia="仿宋_GB2312"/>
          <w:sz w:val="28"/>
          <w:szCs w:val="28"/>
        </w:rPr>
        <w:t>研究生奖学金评定工作小组负责统筹协调学科研究生国家奖学金候选人评选、推荐工作；受理研究生对评审结果的申诉。</w:t>
      </w:r>
    </w:p>
    <w:p w14:paraId="024F81B2">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第四章  推荐程序</w:t>
      </w:r>
    </w:p>
    <w:p w14:paraId="4A976BB2">
      <w:pPr>
        <w:ind w:firstLine="570"/>
        <w:rPr>
          <w:rFonts w:hint="eastAsia" w:ascii="仿宋_GB2312" w:eastAsia="仿宋_GB2312"/>
          <w:sz w:val="28"/>
          <w:szCs w:val="28"/>
          <w:lang w:eastAsia="zh-CN"/>
        </w:rPr>
      </w:pPr>
      <w:r>
        <w:rPr>
          <w:rFonts w:hint="eastAsia" w:ascii="仿宋_GB2312" w:eastAsia="仿宋_GB2312"/>
          <w:b/>
          <w:sz w:val="28"/>
          <w:szCs w:val="28"/>
        </w:rPr>
        <w:t>第八条</w:t>
      </w:r>
      <w:r>
        <w:rPr>
          <w:rFonts w:hint="eastAsia" w:ascii="仿宋" w:hAnsi="仿宋" w:eastAsia="仿宋"/>
          <w:b/>
          <w:sz w:val="28"/>
          <w:szCs w:val="28"/>
        </w:rPr>
        <w:t xml:space="preserve"> </w:t>
      </w:r>
      <w:r>
        <w:rPr>
          <w:rFonts w:hint="eastAsia" w:ascii="仿宋_GB2312" w:eastAsia="仿宋_GB2312"/>
          <w:sz w:val="28"/>
          <w:szCs w:val="28"/>
        </w:rPr>
        <w:t>学院根据学校分配的名额，结合符合参评条件的人数，统筹硕士和博士的推荐名额</w:t>
      </w:r>
      <w:r>
        <w:rPr>
          <w:rFonts w:hint="eastAsia" w:ascii="仿宋_GB2312" w:eastAsia="仿宋_GB2312"/>
          <w:sz w:val="28"/>
          <w:szCs w:val="28"/>
          <w:lang w:eastAsia="zh-CN"/>
        </w:rPr>
        <w:t>。</w:t>
      </w:r>
    </w:p>
    <w:p w14:paraId="4650B83F">
      <w:pPr>
        <w:ind w:firstLine="570"/>
        <w:rPr>
          <w:rFonts w:hint="eastAsia" w:ascii="仿宋_GB2312" w:eastAsia="仿宋_GB2312"/>
          <w:sz w:val="28"/>
          <w:szCs w:val="28"/>
          <w:lang w:eastAsia="zh-CN"/>
        </w:rPr>
      </w:pPr>
      <w:r>
        <w:rPr>
          <w:rFonts w:hint="eastAsia" w:ascii="仿宋_GB2312" w:eastAsia="仿宋_GB2312"/>
          <w:b/>
          <w:sz w:val="28"/>
          <w:szCs w:val="28"/>
        </w:rPr>
        <w:t>第九条</w:t>
      </w:r>
      <w:r>
        <w:rPr>
          <w:rFonts w:hint="eastAsia" w:ascii="仿宋" w:hAnsi="仿宋" w:eastAsia="仿宋"/>
          <w:sz w:val="28"/>
        </w:rPr>
        <w:t xml:space="preserve"> </w:t>
      </w:r>
      <w:r>
        <w:rPr>
          <w:rFonts w:hint="eastAsia" w:ascii="仿宋_GB2312" w:eastAsia="仿宋_GB2312"/>
          <w:sz w:val="28"/>
          <w:szCs w:val="28"/>
        </w:rPr>
        <w:t>符合条件的研究生向研究生奖学金评定工作小组提交申请材料</w:t>
      </w:r>
      <w:r>
        <w:rPr>
          <w:rFonts w:hint="eastAsia" w:ascii="仿宋_GB2312" w:eastAsia="仿宋_GB2312"/>
          <w:sz w:val="28"/>
          <w:szCs w:val="28"/>
          <w:lang w:eastAsia="zh-CN"/>
        </w:rPr>
        <w:t>。</w:t>
      </w:r>
    </w:p>
    <w:p w14:paraId="07711FE0">
      <w:pPr>
        <w:ind w:firstLine="570"/>
        <w:rPr>
          <w:rFonts w:hint="eastAsia" w:ascii="仿宋_GB2312" w:eastAsia="仿宋_GB2312"/>
          <w:sz w:val="28"/>
          <w:szCs w:val="28"/>
          <w:lang w:eastAsia="zh-CN"/>
        </w:rPr>
      </w:pPr>
      <w:r>
        <w:rPr>
          <w:rFonts w:hint="eastAsia" w:ascii="仿宋_GB2312" w:eastAsia="仿宋_GB2312"/>
          <w:b/>
          <w:sz w:val="28"/>
          <w:szCs w:val="28"/>
        </w:rPr>
        <w:t>第十条</w:t>
      </w:r>
      <w:r>
        <w:rPr>
          <w:rFonts w:hint="eastAsia" w:ascii="仿宋" w:hAnsi="仿宋" w:eastAsia="仿宋"/>
          <w:b/>
          <w:sz w:val="28"/>
          <w:szCs w:val="28"/>
        </w:rPr>
        <w:t xml:space="preserve"> </w:t>
      </w:r>
      <w:r>
        <w:rPr>
          <w:rFonts w:hint="eastAsia" w:ascii="仿宋_GB2312" w:eastAsia="仿宋_GB2312"/>
          <w:sz w:val="28"/>
          <w:szCs w:val="28"/>
        </w:rPr>
        <w:t>学院奖学金评审委员会组织公开答辩（候选人导师回避），经评议确定最终获奖人选</w:t>
      </w:r>
      <w:r>
        <w:rPr>
          <w:rFonts w:hint="eastAsia" w:ascii="仿宋_GB2312" w:eastAsia="仿宋_GB2312"/>
          <w:sz w:val="28"/>
          <w:szCs w:val="28"/>
          <w:lang w:eastAsia="zh-CN"/>
        </w:rPr>
        <w:t>。</w:t>
      </w:r>
    </w:p>
    <w:p w14:paraId="361A65F1">
      <w:pPr>
        <w:ind w:firstLine="570"/>
        <w:rPr>
          <w:rFonts w:ascii="仿宋_GB2312" w:eastAsia="仿宋_GB2312"/>
          <w:sz w:val="28"/>
          <w:szCs w:val="28"/>
        </w:rPr>
      </w:pPr>
      <w:r>
        <w:rPr>
          <w:rFonts w:hint="eastAsia" w:ascii="仿宋_GB2312" w:eastAsia="仿宋_GB2312"/>
          <w:b/>
          <w:sz w:val="28"/>
          <w:szCs w:val="28"/>
        </w:rPr>
        <w:t>第十一条</w:t>
      </w:r>
      <w:r>
        <w:rPr>
          <w:rFonts w:hint="eastAsia" w:ascii="仿宋" w:hAnsi="仿宋" w:eastAsia="仿宋"/>
          <w:b/>
          <w:sz w:val="28"/>
          <w:szCs w:val="28"/>
        </w:rPr>
        <w:t xml:space="preserve"> </w:t>
      </w:r>
      <w:r>
        <w:rPr>
          <w:rFonts w:hint="eastAsia" w:ascii="仿宋_GB2312" w:eastAsia="仿宋_GB2312"/>
          <w:sz w:val="28"/>
          <w:szCs w:val="28"/>
        </w:rPr>
        <w:t>奖学金评审委员会办公室公示获奖名单后上报学校。</w:t>
      </w:r>
    </w:p>
    <w:p w14:paraId="318F024B">
      <w:pPr>
        <w:pStyle w:val="10"/>
        <w:spacing w:before="312" w:beforeLines="100" w:after="312" w:afterLines="100"/>
        <w:jc w:val="center"/>
        <w:rPr>
          <w:rFonts w:ascii="黑体" w:hAnsi="黑体" w:eastAsia="黑体" w:cstheme="minorBidi"/>
          <w:b/>
          <w:sz w:val="28"/>
          <w:szCs w:val="28"/>
        </w:rPr>
      </w:pPr>
      <w:r>
        <w:rPr>
          <w:rFonts w:hint="eastAsia" w:ascii="黑体" w:hAnsi="黑体" w:eastAsia="黑体" w:cstheme="minorBidi"/>
          <w:b/>
          <w:sz w:val="28"/>
          <w:szCs w:val="28"/>
        </w:rPr>
        <w:t>第五章 附 则</w:t>
      </w:r>
    </w:p>
    <w:p w14:paraId="5112FE27">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第十二条</w:t>
      </w:r>
      <w:r>
        <w:rPr>
          <w:rFonts w:hint="eastAsia" w:ascii="仿宋" w:hAnsi="仿宋" w:eastAsia="仿宋"/>
          <w:b/>
          <w:sz w:val="28"/>
          <w:szCs w:val="28"/>
        </w:rPr>
        <w:t xml:space="preserve"> </w:t>
      </w:r>
      <w:r>
        <w:rPr>
          <w:rFonts w:hint="eastAsia" w:ascii="仿宋_GB2312" w:eastAsia="仿宋_GB2312" w:hAnsiTheme="minorHAnsi" w:cstheme="minorBidi"/>
          <w:sz w:val="28"/>
          <w:szCs w:val="28"/>
        </w:rPr>
        <w:t>学校于每年12月30日前将研究生国家奖学金一次性发放给获奖研究生，将《研究生国家奖学金申请审批表》装入研究生档案，并颁发国家统一印制的荣誉证书。</w:t>
      </w:r>
    </w:p>
    <w:p w14:paraId="509218EA">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 xml:space="preserve">第十三条 </w:t>
      </w:r>
      <w:r>
        <w:rPr>
          <w:rFonts w:hint="eastAsia" w:ascii="仿宋_GB2312" w:eastAsia="仿宋_GB2312" w:hAnsiTheme="minorHAnsi" w:cstheme="minorBidi"/>
          <w:sz w:val="28"/>
          <w:szCs w:val="28"/>
        </w:rPr>
        <w:t>在评审过程中，如有弄虚作假行为，一经查实，取消本学年所有评奖资格且不能参加下一年度评奖评优，并对已颁发的荣誉证书和奖金予以追回，情节严重者，依据相关规定进行处理。</w:t>
      </w:r>
    </w:p>
    <w:p w14:paraId="2C84BF92">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第十四条</w:t>
      </w:r>
      <w:r>
        <w:rPr>
          <w:rFonts w:hint="eastAsia" w:ascii="仿宋_GB2312" w:eastAsia="仿宋_GB2312" w:hAnsiTheme="minorHAnsi" w:cstheme="minorBidi"/>
          <w:sz w:val="28"/>
          <w:szCs w:val="28"/>
        </w:rPr>
        <w:t xml:space="preserve"> 国家奖学金评审的相关资料在学院留存一年备查。</w:t>
      </w:r>
    </w:p>
    <w:p w14:paraId="4BA703A4">
      <w:pPr>
        <w:pStyle w:val="10"/>
        <w:spacing w:line="540" w:lineRule="exact"/>
        <w:ind w:firstLine="573"/>
        <w:jc w:val="left"/>
        <w:rPr>
          <w:rFonts w:ascii="仿宋_GB2312" w:eastAsia="仿宋_GB2312" w:hAnsiTheme="minorHAnsi" w:cstheme="minorBidi"/>
          <w:sz w:val="28"/>
          <w:szCs w:val="28"/>
        </w:rPr>
      </w:pPr>
      <w:r>
        <w:rPr>
          <w:rFonts w:hint="eastAsia" w:ascii="仿宋_GB2312" w:eastAsia="仿宋_GB2312" w:hAnsiTheme="minorHAnsi" w:cstheme="minorBidi"/>
          <w:b/>
          <w:sz w:val="28"/>
          <w:szCs w:val="28"/>
        </w:rPr>
        <w:t>第十五</w:t>
      </w:r>
      <w:r>
        <w:rPr>
          <w:rFonts w:hint="eastAsia" w:ascii="仿宋" w:hAnsi="仿宋" w:eastAsia="仿宋"/>
          <w:b/>
          <w:sz w:val="28"/>
          <w:szCs w:val="28"/>
        </w:rPr>
        <w:t xml:space="preserve">条 </w:t>
      </w:r>
      <w:r>
        <w:rPr>
          <w:rFonts w:hint="eastAsia" w:ascii="仿宋_GB2312" w:eastAsia="仿宋_GB2312"/>
          <w:sz w:val="28"/>
          <w:szCs w:val="28"/>
        </w:rPr>
        <w:t>本</w:t>
      </w:r>
      <w:r>
        <w:rPr>
          <w:rFonts w:hint="eastAsia" w:ascii="仿宋_GB2312" w:eastAsia="仿宋_GB2312" w:hAnsiTheme="minorHAnsi" w:cstheme="minorBidi"/>
          <w:sz w:val="28"/>
          <w:szCs w:val="28"/>
        </w:rPr>
        <w:t>办法自发布之日起执行，解释权在草业与草原学院奖学金评审委员会。</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4403646"/>
    </w:sdtPr>
    <w:sdtContent>
      <w:p w14:paraId="0F975B7F">
        <w:pPr>
          <w:pStyle w:val="4"/>
          <w:jc w:val="center"/>
        </w:pPr>
        <w:r>
          <w:fldChar w:fldCharType="begin"/>
        </w:r>
        <w:r>
          <w:instrText xml:space="preserve">PAGE   \* MERGEFORMAT</w:instrText>
        </w:r>
        <w:r>
          <w:fldChar w:fldCharType="separate"/>
        </w:r>
        <w:r>
          <w:rPr>
            <w:lang w:val="zh-CN"/>
          </w:rPr>
          <w:t>4</w:t>
        </w:r>
        <w:r>
          <w:fldChar w:fldCharType="end"/>
        </w:r>
      </w:p>
    </w:sdtContent>
  </w:sdt>
  <w:p w14:paraId="0E90F2B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CC33F3"/>
    <w:rsid w:val="00002831"/>
    <w:rsid w:val="00003CA5"/>
    <w:rsid w:val="00026B72"/>
    <w:rsid w:val="00031F43"/>
    <w:rsid w:val="0004233B"/>
    <w:rsid w:val="000516BD"/>
    <w:rsid w:val="00066FD8"/>
    <w:rsid w:val="0007460E"/>
    <w:rsid w:val="000823A3"/>
    <w:rsid w:val="000838E6"/>
    <w:rsid w:val="00091AE8"/>
    <w:rsid w:val="000A07F8"/>
    <w:rsid w:val="000A39A7"/>
    <w:rsid w:val="000A550E"/>
    <w:rsid w:val="000A6C89"/>
    <w:rsid w:val="000B2B81"/>
    <w:rsid w:val="000B4CA9"/>
    <w:rsid w:val="000C67E9"/>
    <w:rsid w:val="000D3315"/>
    <w:rsid w:val="000E359C"/>
    <w:rsid w:val="000E49C4"/>
    <w:rsid w:val="001006E9"/>
    <w:rsid w:val="00103DFF"/>
    <w:rsid w:val="00105BB5"/>
    <w:rsid w:val="00106037"/>
    <w:rsid w:val="001067DA"/>
    <w:rsid w:val="00107C0A"/>
    <w:rsid w:val="00115E9C"/>
    <w:rsid w:val="00123C1D"/>
    <w:rsid w:val="001314BF"/>
    <w:rsid w:val="001440D7"/>
    <w:rsid w:val="00154CC6"/>
    <w:rsid w:val="00156618"/>
    <w:rsid w:val="0016304E"/>
    <w:rsid w:val="00167C02"/>
    <w:rsid w:val="00171512"/>
    <w:rsid w:val="001723ED"/>
    <w:rsid w:val="00174A07"/>
    <w:rsid w:val="00185108"/>
    <w:rsid w:val="0018695C"/>
    <w:rsid w:val="001918EB"/>
    <w:rsid w:val="001971C2"/>
    <w:rsid w:val="001A2E34"/>
    <w:rsid w:val="001B07D1"/>
    <w:rsid w:val="001C5AB3"/>
    <w:rsid w:val="001E20F0"/>
    <w:rsid w:val="001E5280"/>
    <w:rsid w:val="001E7BD8"/>
    <w:rsid w:val="002257AD"/>
    <w:rsid w:val="00226C37"/>
    <w:rsid w:val="00230B74"/>
    <w:rsid w:val="0023574E"/>
    <w:rsid w:val="00241059"/>
    <w:rsid w:val="00242D24"/>
    <w:rsid w:val="0024679A"/>
    <w:rsid w:val="00252988"/>
    <w:rsid w:val="00255E70"/>
    <w:rsid w:val="00267B8D"/>
    <w:rsid w:val="0027056B"/>
    <w:rsid w:val="002802B7"/>
    <w:rsid w:val="002847D1"/>
    <w:rsid w:val="00285F62"/>
    <w:rsid w:val="002A4944"/>
    <w:rsid w:val="002B7ABE"/>
    <w:rsid w:val="002C0BAE"/>
    <w:rsid w:val="002C1EB2"/>
    <w:rsid w:val="002C344B"/>
    <w:rsid w:val="002C5D3D"/>
    <w:rsid w:val="002F288A"/>
    <w:rsid w:val="002F4060"/>
    <w:rsid w:val="00304FA3"/>
    <w:rsid w:val="00311320"/>
    <w:rsid w:val="00312D49"/>
    <w:rsid w:val="0032788F"/>
    <w:rsid w:val="00332608"/>
    <w:rsid w:val="00340345"/>
    <w:rsid w:val="00341B5D"/>
    <w:rsid w:val="0035124D"/>
    <w:rsid w:val="0035153D"/>
    <w:rsid w:val="0035446E"/>
    <w:rsid w:val="0036611B"/>
    <w:rsid w:val="003736D0"/>
    <w:rsid w:val="003B2ECA"/>
    <w:rsid w:val="003D4C41"/>
    <w:rsid w:val="003E5B04"/>
    <w:rsid w:val="004076B0"/>
    <w:rsid w:val="00425666"/>
    <w:rsid w:val="00427155"/>
    <w:rsid w:val="00435548"/>
    <w:rsid w:val="00446A3B"/>
    <w:rsid w:val="004525EF"/>
    <w:rsid w:val="004538D1"/>
    <w:rsid w:val="00457161"/>
    <w:rsid w:val="004655B4"/>
    <w:rsid w:val="00480A2C"/>
    <w:rsid w:val="00483A0D"/>
    <w:rsid w:val="004A0835"/>
    <w:rsid w:val="004B7C6E"/>
    <w:rsid w:val="004C1D0A"/>
    <w:rsid w:val="004D24AA"/>
    <w:rsid w:val="004E2BC1"/>
    <w:rsid w:val="004F097F"/>
    <w:rsid w:val="004F1A94"/>
    <w:rsid w:val="004F6D82"/>
    <w:rsid w:val="005008EE"/>
    <w:rsid w:val="00505D57"/>
    <w:rsid w:val="00511A51"/>
    <w:rsid w:val="00517706"/>
    <w:rsid w:val="00524212"/>
    <w:rsid w:val="00526A1D"/>
    <w:rsid w:val="00540D2F"/>
    <w:rsid w:val="005461D2"/>
    <w:rsid w:val="00553D11"/>
    <w:rsid w:val="00572D72"/>
    <w:rsid w:val="00577D56"/>
    <w:rsid w:val="00581F54"/>
    <w:rsid w:val="00584096"/>
    <w:rsid w:val="00584B2F"/>
    <w:rsid w:val="00592563"/>
    <w:rsid w:val="005D4398"/>
    <w:rsid w:val="005E46EC"/>
    <w:rsid w:val="006033F2"/>
    <w:rsid w:val="00611BD1"/>
    <w:rsid w:val="00612B63"/>
    <w:rsid w:val="00620331"/>
    <w:rsid w:val="00626D76"/>
    <w:rsid w:val="00635108"/>
    <w:rsid w:val="00636A5E"/>
    <w:rsid w:val="00650806"/>
    <w:rsid w:val="0065286D"/>
    <w:rsid w:val="00656434"/>
    <w:rsid w:val="006616F4"/>
    <w:rsid w:val="0066551D"/>
    <w:rsid w:val="00684ECE"/>
    <w:rsid w:val="00687C83"/>
    <w:rsid w:val="00690F46"/>
    <w:rsid w:val="006959E1"/>
    <w:rsid w:val="00696DBF"/>
    <w:rsid w:val="006A19D8"/>
    <w:rsid w:val="006A3C8F"/>
    <w:rsid w:val="006B2A9B"/>
    <w:rsid w:val="006B55C5"/>
    <w:rsid w:val="006D4C46"/>
    <w:rsid w:val="006D5E6D"/>
    <w:rsid w:val="006E06C2"/>
    <w:rsid w:val="006F11AF"/>
    <w:rsid w:val="006F4D48"/>
    <w:rsid w:val="007050E6"/>
    <w:rsid w:val="0071179C"/>
    <w:rsid w:val="00717F74"/>
    <w:rsid w:val="00734AA0"/>
    <w:rsid w:val="007414C3"/>
    <w:rsid w:val="00747BD5"/>
    <w:rsid w:val="007559B3"/>
    <w:rsid w:val="00762BB8"/>
    <w:rsid w:val="00763A42"/>
    <w:rsid w:val="00767BEB"/>
    <w:rsid w:val="0078202C"/>
    <w:rsid w:val="00794A59"/>
    <w:rsid w:val="007A3B15"/>
    <w:rsid w:val="007B00C3"/>
    <w:rsid w:val="007B627F"/>
    <w:rsid w:val="007E7800"/>
    <w:rsid w:val="007F30C2"/>
    <w:rsid w:val="00822B32"/>
    <w:rsid w:val="00826799"/>
    <w:rsid w:val="00830E85"/>
    <w:rsid w:val="00834D45"/>
    <w:rsid w:val="00862107"/>
    <w:rsid w:val="00862A53"/>
    <w:rsid w:val="00864B39"/>
    <w:rsid w:val="008661E1"/>
    <w:rsid w:val="0086665E"/>
    <w:rsid w:val="008670A0"/>
    <w:rsid w:val="00885046"/>
    <w:rsid w:val="00886779"/>
    <w:rsid w:val="00891428"/>
    <w:rsid w:val="008936A6"/>
    <w:rsid w:val="008A6D25"/>
    <w:rsid w:val="008B578A"/>
    <w:rsid w:val="008B59EE"/>
    <w:rsid w:val="008B61A8"/>
    <w:rsid w:val="008C07A8"/>
    <w:rsid w:val="008C2C84"/>
    <w:rsid w:val="008C6F67"/>
    <w:rsid w:val="008E4D1A"/>
    <w:rsid w:val="008F0BDC"/>
    <w:rsid w:val="008F20FE"/>
    <w:rsid w:val="008F7144"/>
    <w:rsid w:val="00906E91"/>
    <w:rsid w:val="00935207"/>
    <w:rsid w:val="00944BCD"/>
    <w:rsid w:val="00946CEC"/>
    <w:rsid w:val="009536B9"/>
    <w:rsid w:val="009713FF"/>
    <w:rsid w:val="00973C75"/>
    <w:rsid w:val="009845AD"/>
    <w:rsid w:val="00987E8E"/>
    <w:rsid w:val="009937A0"/>
    <w:rsid w:val="009B329F"/>
    <w:rsid w:val="009B79C5"/>
    <w:rsid w:val="009C67F0"/>
    <w:rsid w:val="009F1E33"/>
    <w:rsid w:val="009F4651"/>
    <w:rsid w:val="00A04C8C"/>
    <w:rsid w:val="00A04D19"/>
    <w:rsid w:val="00A173C9"/>
    <w:rsid w:val="00A33210"/>
    <w:rsid w:val="00A34203"/>
    <w:rsid w:val="00A443A5"/>
    <w:rsid w:val="00A54AEC"/>
    <w:rsid w:val="00A7542D"/>
    <w:rsid w:val="00A8079C"/>
    <w:rsid w:val="00AB1C19"/>
    <w:rsid w:val="00AB37AA"/>
    <w:rsid w:val="00AC479C"/>
    <w:rsid w:val="00AD096D"/>
    <w:rsid w:val="00AD55CA"/>
    <w:rsid w:val="00AD7E63"/>
    <w:rsid w:val="00AE091F"/>
    <w:rsid w:val="00AE5B7A"/>
    <w:rsid w:val="00AF390C"/>
    <w:rsid w:val="00B01BE1"/>
    <w:rsid w:val="00B231B3"/>
    <w:rsid w:val="00B263FF"/>
    <w:rsid w:val="00B4017C"/>
    <w:rsid w:val="00B42490"/>
    <w:rsid w:val="00B55620"/>
    <w:rsid w:val="00B65111"/>
    <w:rsid w:val="00B809AE"/>
    <w:rsid w:val="00B84AFA"/>
    <w:rsid w:val="00BA5825"/>
    <w:rsid w:val="00BC32EC"/>
    <w:rsid w:val="00BC688F"/>
    <w:rsid w:val="00BD2B1A"/>
    <w:rsid w:val="00BE6E11"/>
    <w:rsid w:val="00C01265"/>
    <w:rsid w:val="00C04CD1"/>
    <w:rsid w:val="00C23124"/>
    <w:rsid w:val="00C32B93"/>
    <w:rsid w:val="00C370DB"/>
    <w:rsid w:val="00C46A4E"/>
    <w:rsid w:val="00C5056C"/>
    <w:rsid w:val="00C5122D"/>
    <w:rsid w:val="00C55EC4"/>
    <w:rsid w:val="00C56FB9"/>
    <w:rsid w:val="00C70269"/>
    <w:rsid w:val="00C73063"/>
    <w:rsid w:val="00C74E61"/>
    <w:rsid w:val="00C7582E"/>
    <w:rsid w:val="00C81508"/>
    <w:rsid w:val="00C82C75"/>
    <w:rsid w:val="00C83358"/>
    <w:rsid w:val="00C91380"/>
    <w:rsid w:val="00C95DB9"/>
    <w:rsid w:val="00C97E26"/>
    <w:rsid w:val="00CA24C7"/>
    <w:rsid w:val="00CA2DC6"/>
    <w:rsid w:val="00CC33F3"/>
    <w:rsid w:val="00CE6646"/>
    <w:rsid w:val="00CE7ED3"/>
    <w:rsid w:val="00CF1600"/>
    <w:rsid w:val="00D062E8"/>
    <w:rsid w:val="00D2568A"/>
    <w:rsid w:val="00D4286E"/>
    <w:rsid w:val="00D57F27"/>
    <w:rsid w:val="00D701E8"/>
    <w:rsid w:val="00D709AD"/>
    <w:rsid w:val="00D72A6A"/>
    <w:rsid w:val="00D75981"/>
    <w:rsid w:val="00D82516"/>
    <w:rsid w:val="00D90EC2"/>
    <w:rsid w:val="00DB3CB0"/>
    <w:rsid w:val="00DD4526"/>
    <w:rsid w:val="00DE4781"/>
    <w:rsid w:val="00E20CE9"/>
    <w:rsid w:val="00E4477B"/>
    <w:rsid w:val="00E6397A"/>
    <w:rsid w:val="00E77C7C"/>
    <w:rsid w:val="00E82396"/>
    <w:rsid w:val="00E83B09"/>
    <w:rsid w:val="00E86FD1"/>
    <w:rsid w:val="00E91657"/>
    <w:rsid w:val="00E925BA"/>
    <w:rsid w:val="00E92F7A"/>
    <w:rsid w:val="00EA2FE8"/>
    <w:rsid w:val="00EA551B"/>
    <w:rsid w:val="00EA64E8"/>
    <w:rsid w:val="00EB68A4"/>
    <w:rsid w:val="00EC5041"/>
    <w:rsid w:val="00EC7144"/>
    <w:rsid w:val="00ED673B"/>
    <w:rsid w:val="00ED7AAC"/>
    <w:rsid w:val="00EE0EC5"/>
    <w:rsid w:val="00EE4E8B"/>
    <w:rsid w:val="00EF34E1"/>
    <w:rsid w:val="00F169DA"/>
    <w:rsid w:val="00F36BB2"/>
    <w:rsid w:val="00F53C1C"/>
    <w:rsid w:val="00F7741E"/>
    <w:rsid w:val="00F81DBB"/>
    <w:rsid w:val="00F92664"/>
    <w:rsid w:val="00FA12D1"/>
    <w:rsid w:val="00FB6569"/>
    <w:rsid w:val="00FC006F"/>
    <w:rsid w:val="00FC1538"/>
    <w:rsid w:val="00FC6DEF"/>
    <w:rsid w:val="00FD3B6C"/>
    <w:rsid w:val="00FE550D"/>
    <w:rsid w:val="04747F0E"/>
    <w:rsid w:val="1C52075D"/>
    <w:rsid w:val="22C878F1"/>
    <w:rsid w:val="2C3F44FD"/>
    <w:rsid w:val="48B36E78"/>
    <w:rsid w:val="52EC0068"/>
    <w:rsid w:val="53AE7977"/>
    <w:rsid w:val="6B474CD2"/>
    <w:rsid w:val="6F0379D7"/>
    <w:rsid w:val="76B617A4"/>
    <w:rsid w:val="7CCE53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annotation reference"/>
    <w:basedOn w:val="8"/>
    <w:unhideWhenUsed/>
    <w:qFormat/>
    <w:uiPriority w:val="99"/>
    <w:rPr>
      <w:sz w:val="21"/>
      <w:szCs w:val="21"/>
    </w:rPr>
  </w:style>
  <w:style w:type="paragraph" w:customStyle="1" w:styleId="1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8"/>
    <w:link w:val="5"/>
    <w:qFormat/>
    <w:uiPriority w:val="99"/>
    <w:rPr>
      <w:sz w:val="18"/>
      <w:szCs w:val="18"/>
    </w:rPr>
  </w:style>
  <w:style w:type="character" w:customStyle="1" w:styleId="12">
    <w:name w:val="页脚 Char"/>
    <w:basedOn w:val="8"/>
    <w:link w:val="4"/>
    <w:qFormat/>
    <w:uiPriority w:val="99"/>
    <w:rPr>
      <w:sz w:val="18"/>
      <w:szCs w:val="18"/>
    </w:rPr>
  </w:style>
  <w:style w:type="character" w:customStyle="1" w:styleId="13">
    <w:name w:val="批注框文本 Char"/>
    <w:basedOn w:val="8"/>
    <w:link w:val="3"/>
    <w:semiHidden/>
    <w:qFormat/>
    <w:uiPriority w:val="99"/>
    <w:rPr>
      <w:sz w:val="18"/>
      <w:szCs w:val="18"/>
    </w:rPr>
  </w:style>
  <w:style w:type="character" w:customStyle="1" w:styleId="14">
    <w:name w:val="批注文字 Char"/>
    <w:basedOn w:val="8"/>
    <w:link w:val="2"/>
    <w:semiHidden/>
    <w:qFormat/>
    <w:uiPriority w:val="99"/>
  </w:style>
  <w:style w:type="character" w:customStyle="1" w:styleId="15">
    <w:name w:val="批注主题 Char"/>
    <w:basedOn w:val="14"/>
    <w:link w:val="6"/>
    <w:semiHidden/>
    <w:qFormat/>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71326-3B39-4332-88A0-42856995E3A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1744</Words>
  <Characters>1789</Characters>
  <Lines>13</Lines>
  <Paragraphs>3</Paragraphs>
  <TotalTime>3</TotalTime>
  <ScaleCrop>false</ScaleCrop>
  <LinksUpToDate>false</LinksUpToDate>
  <CharactersWithSpaces>1824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2019-10-10T03:30:00Z</dcterms:created>
  <dc:creator>Chen</dc:creator>
  <cp:lastModifiedBy>杨颖</cp:lastModifiedBy>
  <cp:lastPrinted>2020-10-07T06:35:00Z</cp:lastPrinted>
  <dcterms:modified xsi:type="dcterms:W3CDTF">2024-09-19T12:54:07Z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518026EBD50D4A5381E4323D282817D4</vt:lpwstr>
  </property>
</Properties>
</file>