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6DD136">
      <w:pPr>
        <w:keepNext w:val="0"/>
        <w:keepLines w:val="0"/>
        <w:pageBreakBefore w:val="0"/>
        <w:widowControl w:val="0"/>
        <w:kinsoku/>
        <w:wordWrap w:val="0"/>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b w:val="0"/>
          <w:bCs/>
          <w:kern w:val="2"/>
          <w:sz w:val="32"/>
          <w:szCs w:val="32"/>
          <w:highlight w:val="none"/>
          <w:lang w:val="en-US" w:eastAsia="zh-CN"/>
        </w:rPr>
      </w:pPr>
      <w:r>
        <w:rPr>
          <w:rFonts w:hint="default" w:ascii="Times New Roman" w:hAnsi="Times New Roman" w:eastAsia="仿宋_GB2312" w:cs="Times New Roman"/>
          <w:b w:val="0"/>
          <w:bCs/>
          <w:kern w:val="2"/>
          <w:sz w:val="32"/>
          <w:szCs w:val="32"/>
          <w:highlight w:val="none"/>
          <w:lang w:val="en-US" w:eastAsia="zh-CN"/>
        </w:rPr>
        <w:t>附件</w:t>
      </w:r>
      <w:r>
        <w:rPr>
          <w:rFonts w:hint="eastAsia" w:eastAsia="仿宋_GB2312" w:cs="Times New Roman"/>
          <w:b w:val="0"/>
          <w:bCs/>
          <w:kern w:val="2"/>
          <w:sz w:val="32"/>
          <w:szCs w:val="32"/>
          <w:highlight w:val="none"/>
          <w:lang w:val="en-US" w:eastAsia="zh-CN"/>
        </w:rPr>
        <w:t>2-3</w:t>
      </w:r>
      <w:r>
        <w:rPr>
          <w:rFonts w:hint="default" w:ascii="Times New Roman" w:hAnsi="Times New Roman" w:eastAsia="仿宋_GB2312" w:cs="Times New Roman"/>
          <w:b w:val="0"/>
          <w:bCs/>
          <w:kern w:val="2"/>
          <w:sz w:val="32"/>
          <w:szCs w:val="32"/>
          <w:highlight w:val="none"/>
          <w:lang w:val="en-US" w:eastAsia="zh-CN"/>
        </w:rPr>
        <w:t>：</w:t>
      </w:r>
    </w:p>
    <w:p w14:paraId="3BC7FB12">
      <w:pPr>
        <w:keepNext w:val="0"/>
        <w:keepLines w:val="0"/>
        <w:pageBreakBefore w:val="0"/>
        <w:widowControl w:val="0"/>
        <w:kinsoku/>
        <w:wordWrap w:val="0"/>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b w:val="0"/>
          <w:bCs/>
          <w:kern w:val="2"/>
          <w:sz w:val="32"/>
          <w:szCs w:val="32"/>
          <w:highlight w:val="none"/>
          <w:lang w:val="en-US" w:eastAsia="zh-CN"/>
        </w:rPr>
      </w:pPr>
    </w:p>
    <w:p w14:paraId="32548816">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7189E65B">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ascii="Times New Roman" w:hAnsi="Times New Roman" w:eastAsia="宋体" w:cs="Times New Roman"/>
          <w:b w:val="0"/>
          <w:bCs/>
          <w:kern w:val="2"/>
          <w:sz w:val="21"/>
          <w:lang w:val="en-US"/>
        </w:rPr>
      </w:pPr>
      <w:r>
        <w:rPr>
          <w:rFonts w:hint="default" w:ascii="Times New Roman" w:hAnsi="Times New Roman" w:eastAsia="方正小标宋简体" w:cs="Times New Roman"/>
          <w:b w:val="0"/>
          <w:bCs/>
          <w:kern w:val="2"/>
          <w:sz w:val="44"/>
          <w:szCs w:val="32"/>
          <w:highlight w:val="none"/>
          <w:lang w:val="en-US" w:eastAsia="zh-CN"/>
        </w:rPr>
        <w:t>项目需求榜单</w:t>
      </w:r>
    </w:p>
    <w:p w14:paraId="069755BC">
      <w:pPr>
        <w:keepNext w:val="0"/>
        <w:keepLines w:val="0"/>
        <w:pageBreakBefore w:val="0"/>
        <w:widowControl w:val="0"/>
        <w:kinsoku/>
        <w:wordWrap w:val="0"/>
        <w:topLinePunct w:val="0"/>
        <w:autoSpaceDE/>
        <w:autoSpaceDN/>
        <w:bidi w:val="0"/>
        <w:jc w:val="both"/>
        <w:rPr>
          <w:rFonts w:ascii="Times New Roman" w:hAnsi="Times New Roman" w:eastAsia="宋体" w:cs="Times New Roman"/>
          <w:b w:val="0"/>
          <w:bCs/>
          <w:kern w:val="2"/>
          <w:sz w:val="21"/>
          <w:lang w:val="en-US"/>
        </w:rPr>
      </w:pPr>
    </w:p>
    <w:tbl>
      <w:tblPr>
        <w:tblStyle w:val="11"/>
        <w:tblW w:w="499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6"/>
        <w:gridCol w:w="3962"/>
        <w:gridCol w:w="3774"/>
      </w:tblGrid>
      <w:tr w14:paraId="59327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4197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序号</w:t>
            </w:r>
          </w:p>
        </w:tc>
        <w:tc>
          <w:tcPr>
            <w:tcW w:w="23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B0EA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榜题</w:t>
            </w:r>
          </w:p>
        </w:tc>
        <w:tc>
          <w:tcPr>
            <w:tcW w:w="2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D9F0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发榜单位</w:t>
            </w:r>
          </w:p>
        </w:tc>
      </w:tr>
      <w:tr w14:paraId="58C6F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9E4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D6F7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“青遇园林 共创美好”花园新生活创意设计与展示</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7C6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中国园林博物馆</w:t>
            </w:r>
          </w:p>
        </w:tc>
      </w:tr>
      <w:tr w14:paraId="23EBC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DEA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3388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新时代应急科普内容创新与传播体系构建</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83A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北京市应急管理科学技术研究院</w:t>
            </w:r>
          </w:p>
        </w:tc>
      </w:tr>
      <w:tr w14:paraId="545E8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EC54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FC0B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w w:val="95"/>
                <w:kern w:val="0"/>
                <w:sz w:val="24"/>
                <w:szCs w:val="24"/>
                <w:highlight w:val="none"/>
                <w:u w:val="none"/>
                <w:lang w:val="en-US" w:eastAsia="zh-CN" w:bidi="ar"/>
              </w:rPr>
              <w:t>基于数据驱动的“人工智能+城市治理”</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C8C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北京市科学技术研究院数字经济创新研究所</w:t>
            </w:r>
          </w:p>
        </w:tc>
      </w:tr>
      <w:tr w14:paraId="3C765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B4F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B52E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w w:val="95"/>
                <w:kern w:val="0"/>
                <w:sz w:val="24"/>
                <w:szCs w:val="24"/>
                <w:highlight w:val="none"/>
                <w:u w:val="none"/>
                <w:shd w:val="clear" w:color="auto" w:fill="auto"/>
                <w:lang w:val="en-US" w:eastAsia="zh-CN" w:bidi="ar"/>
              </w:rPr>
              <w:t>科普资源赋能城市更新的智能化探索</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F30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w w:val="95"/>
                <w:kern w:val="0"/>
                <w:sz w:val="24"/>
                <w:szCs w:val="24"/>
                <w:u w:val="none"/>
                <w:lang w:val="en-US" w:eastAsia="zh-CN" w:bidi="ar"/>
              </w:rPr>
              <w:t>西城区展览路街道</w:t>
            </w:r>
          </w:p>
        </w:tc>
      </w:tr>
      <w:tr w14:paraId="187A7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9EC6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5</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2C1C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古巷新颜・文商共生</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C141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w w:val="95"/>
                <w:kern w:val="0"/>
                <w:sz w:val="24"/>
                <w:szCs w:val="24"/>
                <w:u w:val="none"/>
                <w:lang w:val="en-US" w:eastAsia="zh-CN" w:bidi="ar"/>
              </w:rPr>
              <w:t>西城区新街口街道西四北三条社区</w:t>
            </w:r>
          </w:p>
        </w:tc>
      </w:tr>
      <w:tr w14:paraId="41AD4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95F4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88CD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医卫知识传万家，健康守护伴我行</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3AF7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西城区卫生健康党群指导中心</w:t>
            </w:r>
          </w:p>
        </w:tc>
      </w:tr>
      <w:tr w14:paraId="6DA5A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F99F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1243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北京朝阳 和平街街道“和美会客厅：青春设计 + 孵化赋能”</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0FE5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w w:val="95"/>
                <w:kern w:val="0"/>
                <w:sz w:val="24"/>
                <w:szCs w:val="24"/>
                <w:u w:val="none"/>
                <w:lang w:val="en-US" w:eastAsia="zh-CN" w:bidi="ar"/>
              </w:rPr>
              <w:t>朝阳区和平街街道</w:t>
            </w:r>
          </w:p>
        </w:tc>
      </w:tr>
      <w:tr w14:paraId="3F6AC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3B6F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D279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党建协调委员会机制下驻场单位参与基层治理的实践路径与机制创新研究</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7FAF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朝阳区首都机场街道</w:t>
            </w:r>
          </w:p>
        </w:tc>
      </w:tr>
      <w:tr w14:paraId="21898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FA7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B94E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w w:val="95"/>
                <w:kern w:val="0"/>
                <w:sz w:val="24"/>
                <w:szCs w:val="24"/>
                <w:u w:val="none"/>
                <w:lang w:val="en-US" w:eastAsia="zh-CN" w:bidi="ar"/>
              </w:rPr>
              <w:t>线上公共领域构建与青年参与—对双井“向前一步走”直播间的个案考察</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3E4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朝阳区双井街道</w:t>
            </w:r>
          </w:p>
        </w:tc>
      </w:tr>
      <w:tr w14:paraId="7B022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95C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CB4F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AI赋能社区治理的方法路径研究</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49A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朝阳区小关街道惠新南里社区</w:t>
            </w:r>
          </w:p>
        </w:tc>
      </w:tr>
      <w:tr w14:paraId="1FC06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624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ascii="Times New Roman" w:hAnsi="Times New Roman" w:eastAsia="仿宋_GB2312" w:cs="Times New Roman"/>
                <w:i w:val="0"/>
                <w:iCs w:val="0"/>
                <w:color w:val="000000"/>
                <w:kern w:val="0"/>
                <w:sz w:val="24"/>
                <w:szCs w:val="24"/>
                <w:u w:val="none"/>
                <w:lang w:val="en-US" w:eastAsia="zh-CN" w:bidi="ar"/>
              </w:rPr>
              <w:t>1</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D389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夕乐园筑暖，智慧化安居：街乡区域养老服务中心“服务包”可持续运营解决方案</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129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w w:val="95"/>
                <w:kern w:val="0"/>
                <w:sz w:val="24"/>
                <w:szCs w:val="24"/>
                <w:u w:val="none"/>
                <w:lang w:val="en-US" w:eastAsia="zh-CN" w:bidi="ar"/>
              </w:rPr>
              <w:t>丰台区西罗园街道</w:t>
            </w:r>
          </w:p>
        </w:tc>
      </w:tr>
      <w:tr w14:paraId="01617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E73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ascii="Times New Roman" w:hAnsi="Times New Roman" w:eastAsia="仿宋_GB2312" w:cs="Times New Roman"/>
                <w:i w:val="0"/>
                <w:iCs w:val="0"/>
                <w:color w:val="000000"/>
                <w:kern w:val="0"/>
                <w:sz w:val="24"/>
                <w:szCs w:val="24"/>
                <w:u w:val="none"/>
                <w:lang w:val="en-US" w:eastAsia="zh-CN" w:bidi="ar"/>
              </w:rPr>
              <w:t>2</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56CA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社区残疾人就业品牌优化路径与可持续运营模式设计</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DD2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丰台区和义街道</w:t>
            </w:r>
          </w:p>
        </w:tc>
      </w:tr>
      <w:tr w14:paraId="38683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C8A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ascii="Times New Roman" w:hAnsi="Times New Roman" w:eastAsia="仿宋_GB2312" w:cs="Times New Roman"/>
                <w:i w:val="0"/>
                <w:iCs w:val="0"/>
                <w:color w:val="000000"/>
                <w:kern w:val="0"/>
                <w:sz w:val="24"/>
                <w:szCs w:val="24"/>
                <w:u w:val="none"/>
                <w:lang w:val="en-US" w:eastAsia="zh-CN" w:bidi="ar"/>
              </w:rPr>
              <w:t>3</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438C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门头沟区三家店组团城市更新实施路径研究</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66F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北京市规划和自然资源委员会</w:t>
            </w:r>
          </w:p>
          <w:p w14:paraId="091BDE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门头沟分局</w:t>
            </w:r>
          </w:p>
        </w:tc>
      </w:tr>
      <w:tr w14:paraId="49D0D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CE3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ascii="Times New Roman" w:hAnsi="Times New Roman" w:eastAsia="仿宋_GB2312" w:cs="Times New Roman"/>
                <w:i w:val="0"/>
                <w:iCs w:val="0"/>
                <w:color w:val="000000"/>
                <w:kern w:val="0"/>
                <w:sz w:val="24"/>
                <w:szCs w:val="24"/>
                <w:u w:val="none"/>
                <w:lang w:val="en-US" w:eastAsia="zh-CN" w:bidi="ar"/>
              </w:rPr>
              <w:t>4</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CAD5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环卫道路尘负荷精准管控与高效降尘技术及方案创新</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95AC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门头沟区环境卫生服务中心</w:t>
            </w:r>
          </w:p>
        </w:tc>
      </w:tr>
      <w:tr w14:paraId="63401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D7F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ascii="Times New Roman" w:hAnsi="Times New Roman" w:eastAsia="仿宋_GB2312" w:cs="Times New Roman"/>
                <w:i w:val="0"/>
                <w:iCs w:val="0"/>
                <w:color w:val="000000"/>
                <w:kern w:val="0"/>
                <w:sz w:val="24"/>
                <w:szCs w:val="24"/>
                <w:u w:val="none"/>
                <w:lang w:val="en-US" w:eastAsia="zh-CN" w:bidi="ar"/>
              </w:rPr>
              <w:t>5</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1506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数脉：高保真交通全景生成与全域智能信控系统实践</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BF4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北京市公安局公安交通管理局</w:t>
            </w:r>
          </w:p>
          <w:p w14:paraId="121CBC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通州交通支队</w:t>
            </w:r>
          </w:p>
        </w:tc>
      </w:tr>
      <w:tr w14:paraId="781A7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B58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ascii="Times New Roman" w:hAnsi="Times New Roman" w:eastAsia="仿宋_GB2312" w:cs="Times New Roman"/>
                <w:i w:val="0"/>
                <w:iCs w:val="0"/>
                <w:color w:val="000000"/>
                <w:kern w:val="0"/>
                <w:sz w:val="24"/>
                <w:szCs w:val="24"/>
                <w:u w:val="none"/>
                <w:lang w:val="en-US" w:eastAsia="zh-CN" w:bidi="ar"/>
              </w:rPr>
              <w:t>6</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CF50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青年志愿服务组织参与社区治理的精准对接路径与长效机制构建</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6B5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共青团北京市昌平区委员会</w:t>
            </w:r>
          </w:p>
        </w:tc>
      </w:tr>
      <w:tr w14:paraId="3ED2E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7A7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ascii="Times New Roman" w:hAnsi="Times New Roman" w:eastAsia="仿宋_GB2312" w:cs="Times New Roman"/>
                <w:i w:val="0"/>
                <w:iCs w:val="0"/>
                <w:color w:val="000000"/>
                <w:kern w:val="0"/>
                <w:sz w:val="24"/>
                <w:szCs w:val="24"/>
                <w:u w:val="none"/>
                <w:lang w:val="en-US" w:eastAsia="zh-CN" w:bidi="ar"/>
              </w:rPr>
              <w:t>7</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6356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自主腾退合并小区社会治理共同体建设研究</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1F7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昌平区百善镇</w:t>
            </w:r>
          </w:p>
        </w:tc>
      </w:tr>
      <w:tr w14:paraId="0B77B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697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ascii="Times New Roman" w:hAnsi="Times New Roman" w:eastAsia="仿宋_GB2312" w:cs="Times New Roman"/>
                <w:i w:val="0"/>
                <w:iCs w:val="0"/>
                <w:color w:val="000000"/>
                <w:kern w:val="0"/>
                <w:sz w:val="24"/>
                <w:szCs w:val="24"/>
                <w:u w:val="none"/>
                <w:lang w:val="en-US" w:eastAsia="zh-CN" w:bidi="ar"/>
              </w:rPr>
              <w:t>8</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C677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w w:val="95"/>
                <w:kern w:val="0"/>
                <w:sz w:val="24"/>
                <w:szCs w:val="24"/>
                <w:u w:val="none"/>
                <w:lang w:val="en-US" w:eastAsia="zh-CN" w:bidi="ar"/>
              </w:rPr>
              <w:t>兴寿镇辛庄村多元业态发展路径研究</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AEF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昌平区兴寿镇</w:t>
            </w:r>
          </w:p>
        </w:tc>
      </w:tr>
      <w:tr w14:paraId="21FED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A64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19</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FC2B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AI驱动文旅场景智慧运营与服务升级整体方案</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F0B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大兴区榆垡镇</w:t>
            </w:r>
          </w:p>
        </w:tc>
      </w:tr>
      <w:tr w14:paraId="57989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DA9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2</w:t>
            </w:r>
            <w:r>
              <w:rPr>
                <w:rFonts w:hint="eastAsia" w:ascii="Times New Roman" w:hAnsi="Times New Roman" w:eastAsia="仿宋_GB2312" w:cs="Times New Roman"/>
                <w:i w:val="0"/>
                <w:iCs w:val="0"/>
                <w:color w:val="000000"/>
                <w:kern w:val="0"/>
                <w:sz w:val="24"/>
                <w:szCs w:val="24"/>
                <w:u w:val="none"/>
                <w:lang w:val="en-US" w:eastAsia="zh-CN" w:bidi="ar"/>
              </w:rPr>
              <w:t>0</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CAC1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链接怀柔科学城、国际会都和中国影都的怀柔老城更新与青年融入</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342F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怀柔区龙山街道</w:t>
            </w:r>
          </w:p>
        </w:tc>
      </w:tr>
      <w:tr w14:paraId="54F9A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125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highlight w:val="none"/>
                <w:u w:val="none"/>
                <w:lang w:val="en-US"/>
              </w:rPr>
            </w:pPr>
            <w:r>
              <w:rPr>
                <w:rFonts w:hint="default" w:ascii="Times New Roman" w:hAnsi="Times New Roman" w:eastAsia="仿宋_GB2312" w:cs="Times New Roman"/>
                <w:i w:val="0"/>
                <w:iCs w:val="0"/>
                <w:color w:val="000000"/>
                <w:kern w:val="0"/>
                <w:sz w:val="24"/>
                <w:szCs w:val="24"/>
                <w:highlight w:val="none"/>
                <w:u w:val="none"/>
                <w:lang w:val="en-US" w:eastAsia="zh-CN" w:bidi="ar"/>
              </w:rPr>
              <w:t>2</w:t>
            </w:r>
            <w:r>
              <w:rPr>
                <w:rFonts w:hint="eastAsia" w:ascii="Times New Roman" w:hAnsi="Times New Roman" w:eastAsia="仿宋_GB2312" w:cs="Times New Roman"/>
                <w:i w:val="0"/>
                <w:iCs w:val="0"/>
                <w:color w:val="000000"/>
                <w:kern w:val="0"/>
                <w:sz w:val="24"/>
                <w:szCs w:val="24"/>
                <w:highlight w:val="none"/>
                <w:u w:val="none"/>
                <w:lang w:val="en-US" w:eastAsia="zh-CN" w:bidi="ar"/>
              </w:rPr>
              <w:t>1</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BC6F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精神心理健康精准服务体系构建</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E4D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延庆区精神病医院</w:t>
            </w:r>
          </w:p>
        </w:tc>
      </w:tr>
      <w:tr w14:paraId="48700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698C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22</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2E07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“智园管家”——AI 驱动的园区全场景智能化管理解决方案</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E61D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w w:val="95"/>
                <w:kern w:val="0"/>
                <w:sz w:val="24"/>
                <w:szCs w:val="24"/>
                <w:u w:val="none"/>
                <w:lang w:val="en-US" w:eastAsia="zh-CN" w:bidi="ar"/>
              </w:rPr>
              <w:t>中航天宇（北京）文化传播有限公司</w:t>
            </w:r>
          </w:p>
        </w:tc>
      </w:tr>
    </w:tbl>
    <w:p w14:paraId="59FABFA0">
      <w:pPr>
        <w:keepNext w:val="0"/>
        <w:keepLines w:val="0"/>
        <w:pageBreakBefore w:val="0"/>
        <w:widowControl w:val="0"/>
        <w:kinsoku/>
        <w:wordWrap w:val="0"/>
        <w:topLinePunct w:val="0"/>
        <w:autoSpaceDE/>
        <w:autoSpaceDN/>
        <w:bidi w:val="0"/>
        <w:rPr>
          <w:rFonts w:hint="eastAsia" w:ascii="仿宋_GB2312" w:eastAsia="仿宋_GB2312"/>
          <w:bCs/>
          <w:color w:val="auto"/>
          <w:sz w:val="32"/>
          <w:szCs w:val="32"/>
          <w:lang w:val="en-US"/>
        </w:rPr>
      </w:pPr>
      <w:r>
        <w:rPr>
          <w:rFonts w:hint="eastAsia" w:ascii="仿宋_GB2312" w:eastAsia="仿宋_GB2312"/>
          <w:bCs/>
          <w:color w:val="auto"/>
          <w:sz w:val="32"/>
          <w:szCs w:val="32"/>
          <w:lang w:val="en-US"/>
        </w:rPr>
        <w:br w:type="page"/>
      </w:r>
    </w:p>
    <w:p w14:paraId="31695EEC">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265DF2F4">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eastAsia"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—01</w:t>
      </w:r>
    </w:p>
    <w:p w14:paraId="19C369B2">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6C0DF512">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2A5D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C01EAA9">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5E6D7DB6">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中国园林博物馆</w:t>
            </w:r>
          </w:p>
        </w:tc>
      </w:tr>
      <w:tr w14:paraId="6FF6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E517C1A">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4FF423F5">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公益一类事业单位</w:t>
            </w:r>
          </w:p>
        </w:tc>
      </w:tr>
      <w:tr w14:paraId="566E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1D0FEC65">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47F9A02F">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北京市丰台区射击场路15号</w:t>
            </w:r>
          </w:p>
        </w:tc>
      </w:tr>
      <w:tr w14:paraId="3A507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67D7357F">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3AA60370">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rPr>
            </w:pPr>
            <w:r>
              <w:rPr>
                <w:rFonts w:hint="eastAsia" w:ascii="Times New Roman" w:hAnsi="Times New Roman" w:eastAsia="仿宋_GB2312" w:cs="仿宋_GB2312"/>
                <w:b w:val="0"/>
                <w:bCs/>
                <w:spacing w:val="6"/>
                <w:kern w:val="2"/>
                <w:sz w:val="24"/>
                <w:szCs w:val="24"/>
                <w:lang w:val="en-US" w:eastAsia="zh-CN"/>
              </w:rPr>
              <w:t>中国园林博物馆是中国第一座以园林为主题的国家级博物馆，为自然科技类博物馆，是“全国科普教育基地”“全国青少年研学基地”、首都多所高校教学实习与就业实践基地。园博馆占地面积6.5万平方米，建馆理念“中国园林——我们的理想家园”，因集独特的实景园林与传统展陈于一体，被誉为“有生命”的博物馆，包含收藏园林特色文物、研究园林历史价值、展示园林艺术魅力、弘扬中国优秀传统文化的公益性文化机构，现已成为全面展示中国园林悠久历史、灿烂文化、多元功能以及辉煌成就的重要窗口，2024年5月，获评国家一级博物馆。</w:t>
            </w:r>
          </w:p>
        </w:tc>
      </w:tr>
      <w:tr w14:paraId="2D89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47C5F5A1">
            <w:pPr>
              <w:keepNext w:val="0"/>
              <w:keepLines w:val="0"/>
              <w:pageBreakBefore w:val="0"/>
              <w:widowControl w:val="0"/>
              <w:kinsoku/>
              <w:wordWrap w:val="0"/>
              <w:topLinePunct w:val="0"/>
              <w:autoSpaceDE/>
              <w:autoSpaceDN/>
              <w:bidi w:val="0"/>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744479E2">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冯雪珊</w:t>
            </w:r>
          </w:p>
        </w:tc>
        <w:tc>
          <w:tcPr>
            <w:tcW w:w="1073" w:type="dxa"/>
            <w:vAlign w:val="center"/>
          </w:tcPr>
          <w:p w14:paraId="66DFD500">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Times New Roman" w:hAnsi="Times New Roman" w:eastAsia="方正楷体简体"/>
                <w:sz w:val="28"/>
                <w:szCs w:val="32"/>
              </w:rPr>
              <w:t>职务</w:t>
            </w:r>
          </w:p>
        </w:tc>
        <w:tc>
          <w:tcPr>
            <w:tcW w:w="2783" w:type="dxa"/>
            <w:vAlign w:val="center"/>
          </w:tcPr>
          <w:p w14:paraId="21CA7ACB">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团委书记</w:t>
            </w:r>
          </w:p>
        </w:tc>
      </w:tr>
      <w:tr w14:paraId="3635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1C145E3A">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5861CA4F">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18500865198</w:t>
            </w:r>
          </w:p>
        </w:tc>
        <w:tc>
          <w:tcPr>
            <w:tcW w:w="1073" w:type="dxa"/>
            <w:vAlign w:val="center"/>
          </w:tcPr>
          <w:p w14:paraId="1677B37E">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Times New Roman" w:hAnsi="Times New Roman" w:eastAsia="方正楷体简体"/>
                <w:sz w:val="28"/>
                <w:szCs w:val="32"/>
              </w:rPr>
              <w:t>微信</w:t>
            </w:r>
          </w:p>
        </w:tc>
        <w:tc>
          <w:tcPr>
            <w:tcW w:w="2783" w:type="dxa"/>
            <w:vAlign w:val="center"/>
          </w:tcPr>
          <w:p w14:paraId="3F741159">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18500865198</w:t>
            </w:r>
          </w:p>
        </w:tc>
      </w:tr>
    </w:tbl>
    <w:p w14:paraId="38D51289">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6D3618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91B0684">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1A163BC">
            <w:pPr>
              <w:widowControl w:val="0"/>
              <w:adjustRightInd w:val="0"/>
              <w:snapToGrid w:val="0"/>
              <w:ind w:firstLine="504" w:firstLineChars="200"/>
              <w:jc w:val="both"/>
              <w:rPr>
                <w:rFonts w:hint="default"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“青遇园林 共创美好”花园</w:t>
            </w:r>
            <w:r>
              <w:rPr>
                <w:rFonts w:hint="eastAsia" w:ascii="Times New Roman" w:hAnsi="Times New Roman" w:eastAsia="仿宋_GB2312" w:cs="仿宋_GB2312"/>
                <w:b w:val="0"/>
                <w:bCs/>
                <w:spacing w:val="6"/>
                <w:kern w:val="2"/>
                <w:sz w:val="24"/>
                <w:szCs w:val="24"/>
                <w:lang w:val="en-US" w:eastAsia="zh"/>
              </w:rPr>
              <w:t>新</w:t>
            </w:r>
            <w:r>
              <w:rPr>
                <w:rFonts w:hint="eastAsia" w:ascii="Times New Roman" w:hAnsi="Times New Roman" w:eastAsia="仿宋_GB2312" w:cs="仿宋_GB2312"/>
                <w:b w:val="0"/>
                <w:bCs/>
                <w:spacing w:val="6"/>
                <w:kern w:val="2"/>
                <w:sz w:val="24"/>
                <w:szCs w:val="24"/>
                <w:lang w:val="en-US" w:eastAsia="zh-CN"/>
              </w:rPr>
              <w:t>生活创意设计与展示</w:t>
            </w:r>
          </w:p>
        </w:tc>
      </w:tr>
      <w:tr w14:paraId="54F408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248A9D3">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64AE12F">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风景园林、环境艺术、文化创意设计、数字媒体艺术、产品设计、文旅融合服务、影视制作、视觉传达设计、科普教育</w:t>
            </w:r>
          </w:p>
        </w:tc>
      </w:tr>
      <w:tr w14:paraId="032485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A0CB572">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D946665">
            <w:pPr>
              <w:widowControl w:val="0"/>
              <w:adjustRightInd w:val="0"/>
              <w:snapToGrid w:val="0"/>
              <w:ind w:firstLine="504" w:firstLineChars="200"/>
              <w:jc w:val="both"/>
              <w:rPr>
                <w:rFonts w:hint="default"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深入贯彻习近平总书记 “把首都建设成为一个大花园” 的重要指示，锚定 “共建、共治、共享” 的花园城市建设目标，深挖 “中国园林 —— 我们的理想家园” 核心理念与古今交融的文化资源。本次选题聚焦三大核心方向：一是聚焦空间设计，打造 “生态＋文化＋体验” 三位一体的微花园空间样本，实现景观观赏性、生态实用性与文化共鸣感的有机统一；二是聚焦文创载体，研发“传统元素＋ 现代审美＋多元场景”的创新文创产品（含视觉类海报），推动园林文化从“馆内展陈”走向“日常传播”；三是聚焦科普传播，围绕博大精深的园林文化，创作兼具科普性、趣味性、艺术性的园林科普微视频，让园林文化及生态知识通过多元视觉传播形式触达更广泛受众。通过青年创意赋能园林传承与城市更新，为首都花园城市建设注入兼具文化厚度、创新活力与青春温度的实践方案。</w:t>
            </w:r>
          </w:p>
        </w:tc>
      </w:tr>
      <w:tr w14:paraId="1BEC1C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8DDA760">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F9EF120">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所有作品均需为原创设计，未发表、未上市、未参与其他同类竞赛，无知识产权争议。作品需紧扣首都花园城市建设背景与竞赛主题，深度融合中国传统园林文化与首都城市特色，符合园林工程建设、文创设计相关规范与标准。</w:t>
            </w:r>
          </w:p>
          <w:p w14:paraId="4294326D">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（一）赛道一：花园式空间设计</w:t>
            </w:r>
          </w:p>
          <w:p w14:paraId="44F0C2E9">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1.设计规模：参赛团队需在比赛时间内完成馆内特定片区的微花园设计，可根据场地特性加入至多1个景观构筑物或园艺小品，余地留作花园。</w:t>
            </w:r>
          </w:p>
          <w:p w14:paraId="176B3867">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2.内容要求：设计方案需包含总平面图、效果图、剖面图、植物配置方案、施工工艺简述等；设计说明需明确设计理念、文化融合点、技术应用、功能布局思路，字数控制在1000字以内。</w:t>
            </w:r>
          </w:p>
          <w:p w14:paraId="27808667">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3.技术要求：优先选用乡土植物，突出生态节水、低碳环保、可持续发展的园林建设理念，可结合海绵城市等现代园林技术，确保设计方案的可落地性。</w:t>
            </w:r>
          </w:p>
          <w:p w14:paraId="74E456FB">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4.提交形式：电子版设计文件（PDF格式，分辨率不低于300dpi），包含全套设计图纸与设计说明，单个文件大小不超过500M。</w:t>
            </w:r>
          </w:p>
          <w:p w14:paraId="086B8FEE">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（二）赛道二：园林文创产品设计</w:t>
            </w:r>
          </w:p>
          <w:p w14:paraId="5092CBF9">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品类要求：涵盖但不限于实用文创（文具、日用品、配饰等）、数字文创（园林文化数字表情包、AR互动产品、数字藏品等）、视觉文创（园林科普海报、主题视觉海报等），鼓励跨界融合设计。其中，海报支持单幅或系列形式，需紧扣中国园林博物馆2026年展览核心内容，兼具科普性与艺术性。</w:t>
            </w:r>
          </w:p>
          <w:p w14:paraId="45DF2540">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2.内容要求：设计方案需包含产品效果图/实物打样图、产品设计说明、工艺与材质说明（实用文创）、应用场景展示等；设计说明需明确文化元素提取、创意转化思路、产品定位与市场价值（海报需明确视觉设计思路、科普内容提炼、主题表达逻辑），字数控制在1500字以内，海报设计说明字数控制在500字以内。</w:t>
            </w:r>
          </w:p>
          <w:p w14:paraId="0A46A455">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3.技术要求：实用文创需考虑生产制作的可行性与成本控制，符合产品质量相关标准；数字文创需保证技术实现的合理性，可提供简易演示小样。海报设计符合视觉传达设计规范，色彩、构图与园林文化及2026年展览风格相契合，可结合数字设计、手绘等多种表现形式，保证印刷与线上传播的适配性，需保证科普内容（若为科普类海报）的准确性、专业性，经过合理的园林知识考据。</w:t>
            </w:r>
          </w:p>
          <w:p w14:paraId="0601A26B">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4.提交形式：电子版设计文件（PDF格式，分辨率不低于300dpi），文创产品可额外提交演示视频（MP4格式，时长不超过3分钟），单个文件大小不超过300M。</w:t>
            </w:r>
          </w:p>
          <w:p w14:paraId="4ABF07A8">
            <w:pPr>
              <w:widowControl w:val="0"/>
              <w:adjustRightInd w:val="0"/>
              <w:snapToGrid w:val="0"/>
              <w:ind w:firstLine="504" w:firstLineChars="200"/>
              <w:jc w:val="both"/>
              <w:rPr>
                <w:rFonts w:hint="default"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（三）赛道三：园林科普视频设计</w:t>
            </w:r>
          </w:p>
          <w:p w14:paraId="033B19E7">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1.品类要求：支持短视频、专题科普视频形式，以中国园林文化为内核，紧密依托中国园林博物馆展陈资源、馆藏亮点、园林知识要点展开创作。</w:t>
            </w:r>
          </w:p>
          <w:p w14:paraId="683F755E">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2.内容要求：需包含完整脚本、成片内容、创作说明，创作说明明确科普知识点、内容创作思路、传播定位，字数控制在800字以内。</w:t>
            </w:r>
          </w:p>
          <w:p w14:paraId="24959EA7">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3.技术要求：视频画面清晰，分辨率不低于1080P，画面构图、剪辑节奏符合科普传播规律，可适当运用动画、特效等手段增强趣味性；所有作品需保证科普内容的准确性、专业性，需经过合理的园林知识考据。</w:t>
            </w:r>
          </w:p>
          <w:p w14:paraId="452EDFDD">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4.提交形式：电子版设计文件（PDF格式，分辨率不低于300dpi），包含创作说明、视频脚本等；视频成片为MP4格式，时长短视频控制在1分钟内、专题科普视频控制在5分钟内；单个文件大小不超过200M。</w:t>
            </w:r>
          </w:p>
        </w:tc>
      </w:tr>
      <w:tr w14:paraId="32F63E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B2B47">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70323DF4">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36BE8">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（一）赛道一：花园式空间设计评审标准</w:t>
            </w:r>
          </w:p>
          <w:p w14:paraId="212AFFF9">
            <w:pPr>
              <w:widowControl w:val="0"/>
              <w:adjustRightInd w:val="0"/>
              <w:snapToGrid w:val="0"/>
              <w:ind w:firstLine="504" w:firstLineChars="200"/>
              <w:jc w:val="both"/>
              <w:rPr>
                <w:rFonts w:hint="default"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1.文化融合与在地性（25%）：设计贴合馆内实际空间特征，凸显园林文化底蕴与首都地域特色，彰显花园城市建设的园林魅力与创新活力。</w:t>
            </w:r>
          </w:p>
          <w:p w14:paraId="5E4C1AD2">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2.生态技术与落地性（25%）：优先选用乡土及馆内特色植物，融入生态节水、低碳环保等现代园林技术；设计方案符合馆内基础条件，施工工艺可行，具备实际落地实施价值。</w:t>
            </w:r>
          </w:p>
          <w:p w14:paraId="315B31AB">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3.创意性与景观价值（20%）：设计理念新颖，打造兼具实用性与观赏性的微场景；实现馆内景观“点上出彩”，与周边现有景观衔接自然，提升整体园林景观品质。</w:t>
            </w:r>
          </w:p>
          <w:p w14:paraId="59CEBFE8">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4.功能布局与人文关怀（15%）：功能布局合理，满足游客文化体验、休闲互动等需求；兼顾不同人群使用需求，提升博物馆公共服务能力。</w:t>
            </w:r>
          </w:p>
          <w:p w14:paraId="263CA35C">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5.设计表达与完整性（15%）：提交图纸规范清晰，标注具体区位与衔接关系；设计说明完整，技术指标明确，图文能精准传达设计意图。</w:t>
            </w:r>
          </w:p>
          <w:p w14:paraId="7B418E90">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（二）赛道二：园林文创产品设计评审标准</w:t>
            </w:r>
          </w:p>
          <w:p w14:paraId="4356CF0F">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1.文化提取与转化（30%）：文化元素提取精准且创意转化新颖，深度体现园林文化内涵。</w:t>
            </w:r>
          </w:p>
          <w:p w14:paraId="647C02ED">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2.创意性与审美价值（20%）：设计理念独特，造型、视觉呈现符合现代审美；跨界融合设计有亮点，视觉文创具备强传播性，数字文创互动形式有新意。</w:t>
            </w:r>
          </w:p>
          <w:p w14:paraId="09CFC7CB">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3.实用性与可行性（20%）：实用文创考虑生产制作可行性与成本控制，符合产品质量标准；数字文创技术实现合理，可结合馆内游览场景设计互动功能；海报设计需适配印刷与线上传播。</w:t>
            </w:r>
          </w:p>
          <w:p w14:paraId="5C7CFF40">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4.市场适配与传播价值（15%）：产品定位清晰，符合大众消费需求与市场推广前景。海报类作品需具备良好的传播潜力，适宜用作馆内展览宣传与线上推广。</w:t>
            </w:r>
          </w:p>
          <w:p w14:paraId="72424087">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5.设计表达与完整性（15%）：提交效果图清晰，工艺、材质、应用场景说明完整；设计说明明确文化元素、转化思路与市场价值。</w:t>
            </w:r>
          </w:p>
          <w:p w14:paraId="1EB21CC9">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（二）赛道三：园林科普视频设计评审标准</w:t>
            </w:r>
          </w:p>
          <w:p w14:paraId="63F1C484">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1.科普性与准确性（30%）：园林科普知识点提取准确、讲解专业，内容考据严谨，符合博物馆科普传播要求。</w:t>
            </w:r>
          </w:p>
          <w:p w14:paraId="52A6CD50">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2.创意性与艺术性（25%）：视频创作手法新颖，剪辑、镜头运用有巧思，画面质感佳，可适当运用动画、特效增强趣味性，兼具审美价值与记忆点。</w:t>
            </w:r>
          </w:p>
          <w:p w14:paraId="6CE5B020">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3.贴合性与传播性（20%）：内容与我馆展览风格、园林文化内涵深度融合，符合线上线下多元传播场景需求，易于被不同年龄段受众接受，传播潜力强。</w:t>
            </w:r>
          </w:p>
          <w:p w14:paraId="0918387F">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4.完整性与规范性（15%）：视频脚本、成片、创作说明完整，格式、分辨率、时长等符合提交要求，创作说明逻辑清晰。</w:t>
            </w:r>
          </w:p>
          <w:p w14:paraId="55DA1C1D">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5.趣味性与互动性（10%）：作品能够增强园林科普的趣味性，调动受众参与度与探索欲，打破传统科普的刻板印象。</w:t>
            </w:r>
          </w:p>
        </w:tc>
      </w:tr>
      <w:tr w14:paraId="032392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00EF9B7">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5B8109B">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该选题设置三个独立赛道，参赛团队可自主选择单个赛道参赛，也可同时参与，最终以团队的最高成绩核定奖项。</w:t>
            </w:r>
          </w:p>
          <w:p w14:paraId="057DC88F">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p>
        </w:tc>
      </w:tr>
    </w:tbl>
    <w:p w14:paraId="15BC5D74">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DDF78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2EC298E">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D03A0C0">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为保障参赛团队的设计质量，助力青年学子提升设计能力，园博馆将依托园林青年人才发展联盟单位资源，组建专业指导团队，为参赛团队提供全流程、多维度的指导服务，具体措施如下：</w:t>
            </w:r>
          </w:p>
          <w:p w14:paraId="591D42AE">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集中交流培训：发榜后，举办线下赛前培训会，邀请馆内高级工程师、联盟单位青年设计师、视觉设计与影视制作行业资深从业者等，围绕花园城市建设要求、园林景观设计、文创产品设计与转化（含海报设计）、园林科普内容创作、视觉传播设计技巧等核心内容开展专题分享，解读要求与评分标准，为参赛团队奠定设计基础。</w:t>
            </w:r>
          </w:p>
          <w:p w14:paraId="0296725F">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2.实地调研指导：组织参赛团队开展实地调研，针对馆内现有景观节点做迁移指导，帮助参赛团队直观感受园林景观营建与首都花园场景建设实际需求，为设计创作提供真实素材。</w:t>
            </w:r>
          </w:p>
          <w:p w14:paraId="6903F296">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3.一对一线上答疑：搭建竞赛专属线上指导群，参赛团队可在设计过程中随时提交问题，群内进行一对一线上答疑。</w:t>
            </w:r>
          </w:p>
          <w:p w14:paraId="23ECE169">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4.资源开放支持：向参赛团队提供设计场地详尽数据信息、中国园林博物馆馆藏、展览陈设资源、2026年展览核心内容与素材、园林科普权威资料等文化讯息，为参赛团队的设计与科普视频创作提供数据与素材支撑。</w:t>
            </w:r>
          </w:p>
          <w:p w14:paraId="4511181E">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p>
        </w:tc>
      </w:tr>
      <w:tr w14:paraId="46FD79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9641C74">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E0C5733">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一、奖项设置</w:t>
            </w:r>
          </w:p>
          <w:p w14:paraId="060390E3">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原则上设“擂主”团队1个，根据实际情况评出相应的特等奖、一等奖、二等奖、三等奖项目若干。</w:t>
            </w:r>
          </w:p>
          <w:p w14:paraId="6E3123D9">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二、激励措施</w:t>
            </w:r>
          </w:p>
          <w:p w14:paraId="3B9D4B9F">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将根据作品落地性与文化价值等选出1名擂主，擂主团队优先获得成果孵化、专题展览展示的机会，团队成员可获得中国园林博物馆实习推荐资格，优先参与馆内实践项目。</w:t>
            </w:r>
          </w:p>
        </w:tc>
      </w:tr>
    </w:tbl>
    <w:p w14:paraId="0BACE0F9">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CCDFF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E18D11A">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F68EB">
            <w:pPr>
              <w:keepNext w:val="0"/>
              <w:keepLines w:val="0"/>
              <w:pageBreakBefore w:val="0"/>
              <w:widowControl/>
              <w:numPr>
                <w:ilvl w:val="0"/>
                <w:numId w:val="0"/>
              </w:numPr>
              <w:kinsoku/>
              <w:wordWrap/>
              <w:overflowPunct w:val="0"/>
              <w:topLinePunct w:val="0"/>
              <w:autoSpaceDE/>
              <w:autoSpaceDN/>
              <w:bidi w:val="0"/>
              <w:adjustRightInd w:val="0"/>
              <w:snapToGrid w:val="0"/>
              <w:spacing w:line="52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一是针对传统园林空间设计与现代城市需求脱节、文创产品文化转化浅层化等行业痛点，探索传统园林文化与现代设计技术、数字技术的创新融合路径，实现 “文化表达与生态实用平衡”“在地性与创新性统一”。</w:t>
            </w:r>
          </w:p>
          <w:p w14:paraId="0ED21701">
            <w:pPr>
              <w:keepNext w:val="0"/>
              <w:keepLines w:val="0"/>
              <w:pageBreakBefore w:val="0"/>
              <w:widowControl/>
              <w:numPr>
                <w:ilvl w:val="0"/>
                <w:numId w:val="0"/>
              </w:numPr>
              <w:kinsoku/>
              <w:wordWrap/>
              <w:overflowPunct w:val="0"/>
              <w:topLinePunct w:val="0"/>
              <w:autoSpaceDE/>
              <w:autoSpaceDN/>
              <w:bidi w:val="0"/>
              <w:adjustRightInd w:val="0"/>
              <w:snapToGrid w:val="0"/>
              <w:spacing w:line="52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二是聚焦现代园林科技创新应用，鼓励青年探索园林低碳工艺、数字文创交互技术在园林领域的落地应用，为园林工程、文创设计与文化传播行业提供可复制、可推广的技术应用范式，推动风景园林、环境艺术等领域的设计创新与技术升级。</w:t>
            </w:r>
          </w:p>
          <w:p w14:paraId="174E22BD">
            <w:pPr>
              <w:keepNext w:val="0"/>
              <w:keepLines w:val="0"/>
              <w:pageBreakBefore w:val="0"/>
              <w:widowControl/>
              <w:numPr>
                <w:ilvl w:val="0"/>
                <w:numId w:val="0"/>
              </w:numPr>
              <w:kinsoku/>
              <w:wordWrap/>
              <w:overflowPunct w:val="0"/>
              <w:topLinePunct w:val="0"/>
              <w:autoSpaceDE/>
              <w:autoSpaceDN/>
              <w:bidi w:val="0"/>
              <w:adjustRightInd w:val="0"/>
              <w:snapToGrid w:val="0"/>
              <w:spacing w:line="520" w:lineRule="exact"/>
              <w:ind w:firstLine="480" w:firstLineChars="200"/>
              <w:textAlignment w:val="auto"/>
              <w:rPr>
                <w:rFonts w:hint="eastAsia" w:ascii="仿宋_GB2312" w:hAnsi="仿宋_GB2312" w:eastAsia="仿宋_GB2312" w:cs="仿宋_GB2312"/>
                <w:b w:val="0"/>
                <w:bCs/>
                <w:color w:val="000000"/>
                <w:spacing w:val="6"/>
                <w:sz w:val="24"/>
                <w:szCs w:val="24"/>
                <w:u w:val="none"/>
              </w:rPr>
            </w:pPr>
            <w:r>
              <w:rPr>
                <w:rFonts w:hint="eastAsia" w:ascii="仿宋_GB2312" w:hAnsi="仿宋_GB2312" w:eastAsia="仿宋_GB2312" w:cs="仿宋_GB2312"/>
                <w:kern w:val="2"/>
                <w:sz w:val="24"/>
                <w:szCs w:val="24"/>
                <w:lang w:val="en-US" w:eastAsia="zh-CN" w:bidi="ar-SA"/>
              </w:rPr>
              <w:t>三是回应社会对有层次、有色彩、有故事、能共鸣的花园式场景的需求，为解决城市公共空间营造中生态效益、文化价值与市民体验协同提升，以及传统文化科普传播中专业性与大众性平衡的时代课题提供青年智慧与实践方案。</w:t>
            </w:r>
          </w:p>
        </w:tc>
      </w:tr>
      <w:tr w14:paraId="17461F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C92A83">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0A2E2">
            <w:pPr>
              <w:keepNext w:val="0"/>
              <w:keepLines w:val="0"/>
              <w:pageBreakBefore w:val="0"/>
              <w:widowControl/>
              <w:numPr>
                <w:ilvl w:val="0"/>
                <w:numId w:val="0"/>
              </w:numPr>
              <w:kinsoku/>
              <w:wordWrap/>
              <w:overflowPunct w:val="0"/>
              <w:topLinePunct w:val="0"/>
              <w:autoSpaceDE/>
              <w:autoSpaceDN/>
              <w:bidi w:val="0"/>
              <w:adjustRightInd w:val="0"/>
              <w:snapToGrid w:val="0"/>
              <w:spacing w:line="52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一是丰富中国园林博物馆的游览体验与文创产品体系，提升场馆吸引力与运营效益，孵化的文创产品可形成特色文化IP；</w:t>
            </w:r>
          </w:p>
          <w:p w14:paraId="36B68214">
            <w:pPr>
              <w:keepNext w:val="0"/>
              <w:keepLines w:val="0"/>
              <w:pageBreakBefore w:val="0"/>
              <w:widowControl/>
              <w:numPr>
                <w:ilvl w:val="0"/>
                <w:numId w:val="0"/>
              </w:numPr>
              <w:kinsoku/>
              <w:wordWrap/>
              <w:overflowPunct w:val="0"/>
              <w:topLinePunct w:val="0"/>
              <w:autoSpaceDE/>
              <w:autoSpaceDN/>
              <w:bidi w:val="0"/>
              <w:adjustRightInd w:val="0"/>
              <w:snapToGrid w:val="0"/>
              <w:spacing w:line="52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二是深度践行花园城市建设理念，打造兼具生态价值与文化内涵的城市公共空间样本，提升市民幸福感与归属感，生态化空间设计方案可为城市园林建设提供低成本、高适配的参考样本，降低同类项目的设计与施工成本；</w:t>
            </w:r>
          </w:p>
          <w:p w14:paraId="40B6B3AC">
            <w:pPr>
              <w:keepNext w:val="0"/>
              <w:keepLines w:val="0"/>
              <w:pageBreakBefore w:val="0"/>
              <w:widowControl/>
              <w:numPr>
                <w:ilvl w:val="0"/>
                <w:numId w:val="0"/>
              </w:numPr>
              <w:kinsoku/>
              <w:wordWrap/>
              <w:overflowPunct w:val="0"/>
              <w:topLinePunct w:val="0"/>
              <w:autoSpaceDE/>
              <w:autoSpaceDN/>
              <w:bidi w:val="0"/>
              <w:adjustRightInd w:val="0"/>
              <w:snapToGrid w:val="0"/>
              <w:spacing w:line="52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三是推动中国传统园林文化的创造性转化与创新性发展，通过青年设计力量让传统文化贴近大众生活，增强文化自信与文化认同感；</w:t>
            </w:r>
          </w:p>
          <w:p w14:paraId="76320D23">
            <w:pPr>
              <w:keepNext w:val="0"/>
              <w:keepLines w:val="0"/>
              <w:pageBreakBefore w:val="0"/>
              <w:widowControl/>
              <w:numPr>
                <w:ilvl w:val="0"/>
                <w:numId w:val="0"/>
              </w:numPr>
              <w:kinsoku/>
              <w:wordWrap/>
              <w:overflowPunct w:val="0"/>
              <w:topLinePunct w:val="0"/>
              <w:autoSpaceDE/>
              <w:autoSpaceDN/>
              <w:bidi w:val="0"/>
              <w:adjustRightInd w:val="0"/>
              <w:snapToGrid w:val="0"/>
              <w:spacing w:line="520" w:lineRule="exact"/>
              <w:ind w:firstLine="480" w:firstLineChars="200"/>
              <w:textAlignment w:val="auto"/>
              <w:rPr>
                <w:rFonts w:hint="eastAsia" w:ascii="仿宋_GB2312" w:hAnsi="仿宋_GB2312" w:eastAsia="仿宋_GB2312" w:cs="仿宋_GB2312"/>
                <w:b w:val="0"/>
                <w:bCs/>
                <w:color w:val="000000"/>
                <w:spacing w:val="6"/>
                <w:sz w:val="24"/>
                <w:szCs w:val="24"/>
                <w:u w:val="none"/>
              </w:rPr>
            </w:pPr>
            <w:r>
              <w:rPr>
                <w:rFonts w:hint="eastAsia" w:ascii="仿宋_GB2312" w:hAnsi="仿宋_GB2312" w:eastAsia="仿宋_GB2312" w:cs="仿宋_GB2312"/>
                <w:kern w:val="2"/>
                <w:sz w:val="24"/>
                <w:szCs w:val="24"/>
                <w:lang w:val="en-US" w:eastAsia="zh-CN" w:bidi="ar-SA"/>
              </w:rPr>
              <w:t>四是搭建高校与行业的实践桥梁，培养兼具文化素养、创新能力与实践精神的复合型人才，涵盖园林设计、文创研发、视觉传播、视频创作等多个领域，为园林文化传承与城市建设注入青春动能，为青年创业就业提供实践载体与机遇。</w:t>
            </w:r>
          </w:p>
        </w:tc>
      </w:tr>
    </w:tbl>
    <w:p w14:paraId="17D02D7C">
      <w:pPr>
        <w:keepNext w:val="0"/>
        <w:keepLines w:val="0"/>
        <w:pageBreakBefore w:val="0"/>
        <w:widowControl w:val="0"/>
        <w:kinsoku/>
        <w:topLinePunct w:val="0"/>
        <w:autoSpaceDE/>
        <w:autoSpaceDN/>
        <w:bidi w:val="0"/>
        <w:rPr>
          <w:rFonts w:hint="eastAsia" w:ascii="仿宋_GB2312" w:eastAsia="仿宋_GB2312"/>
          <w:bCs/>
          <w:color w:val="auto"/>
          <w:sz w:val="32"/>
          <w:szCs w:val="32"/>
          <w:lang w:val="en-US"/>
        </w:rPr>
      </w:pPr>
      <w:r>
        <w:rPr>
          <w:rFonts w:hint="eastAsia" w:ascii="仿宋_GB2312" w:eastAsia="仿宋_GB2312"/>
          <w:bCs/>
          <w:color w:val="auto"/>
          <w:sz w:val="32"/>
          <w:szCs w:val="32"/>
          <w:lang w:val="en-US"/>
        </w:rPr>
        <w:br w:type="page"/>
      </w:r>
    </w:p>
    <w:p w14:paraId="759705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方正小标宋简体"/>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方正小标宋简体"/>
          <w:b w:val="0"/>
          <w:bCs/>
          <w:kern w:val="2"/>
          <w:sz w:val="44"/>
          <w:szCs w:val="32"/>
          <w:highlight w:val="none"/>
          <w:lang w:val="en-US" w:eastAsia="zh-CN"/>
        </w:rPr>
        <w:t>专项赛</w:t>
      </w:r>
    </w:p>
    <w:p w14:paraId="464F19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方正小标宋简体"/>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—02</w:t>
      </w:r>
    </w:p>
    <w:p w14:paraId="002C608C">
      <w:pPr>
        <w:keepNext w:val="0"/>
        <w:keepLines w:val="0"/>
        <w:pageBreakBefore w:val="0"/>
        <w:widowControl w:val="0"/>
        <w:tabs>
          <w:tab w:val="left" w:pos="8640"/>
        </w:tabs>
        <w:kinsoku/>
        <w:wordWrap w:val="0"/>
        <w:overflowPunct/>
        <w:topLinePunct w:val="0"/>
        <w:autoSpaceDE/>
        <w:autoSpaceDN/>
        <w:bidi w:val="0"/>
        <w:adjustRightInd w:val="0"/>
        <w:snapToGrid w:val="0"/>
        <w:spacing w:line="240" w:lineRule="auto"/>
        <w:textAlignment w:val="auto"/>
        <w:rPr>
          <w:rFonts w:ascii="方正黑体简体" w:eastAsia="方正黑体简体"/>
          <w:bCs/>
          <w:color w:val="auto"/>
          <w:spacing w:val="6"/>
          <w:sz w:val="21"/>
          <w:szCs w:val="21"/>
        </w:rPr>
      </w:pPr>
    </w:p>
    <w:p w14:paraId="391CEEE6">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55E3E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noWrap w:val="0"/>
            <w:vAlign w:val="center"/>
          </w:tcPr>
          <w:p w14:paraId="14434B2E">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noWrap w:val="0"/>
            <w:vAlign w:val="center"/>
          </w:tcPr>
          <w:p w14:paraId="760B6F67">
            <w:pPr>
              <w:keepNext w:val="0"/>
              <w:keepLines w:val="0"/>
              <w:pageBreakBefore w:val="0"/>
              <w:widowControl w:val="0"/>
              <w:kinsoku/>
              <w:wordWrap w:val="0"/>
              <w:topLinePunct w:val="0"/>
              <w:autoSpaceDE/>
              <w:autoSpaceDN/>
              <w:bidi w:val="0"/>
              <w:adjustRightInd w:val="0"/>
              <w:snapToGrid w:val="0"/>
              <w:jc w:val="center"/>
              <w:rPr>
                <w:rFonts w:hint="default" w:ascii="仿宋_GB2312" w:hAnsi="仿宋_GB2312" w:eastAsia="仿宋_GB2312" w:cs="仿宋_GB2312"/>
                <w:color w:val="auto"/>
                <w:lang w:val="en-US"/>
              </w:rPr>
            </w:pPr>
            <w:r>
              <w:rPr>
                <w:rFonts w:hint="eastAsia" w:ascii="仿宋_GB2312" w:hAnsi="仿宋_GB2312" w:eastAsia="仿宋_GB2312" w:cs="仿宋_GB2312"/>
                <w:bCs/>
                <w:color w:val="auto"/>
                <w:spacing w:val="6"/>
                <w:szCs w:val="28"/>
                <w:lang w:val="en-US" w:eastAsia="zh-CN"/>
              </w:rPr>
              <w:t>北京市应急管理科学技术研究院</w:t>
            </w:r>
          </w:p>
        </w:tc>
      </w:tr>
      <w:tr w14:paraId="28BF0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noWrap w:val="0"/>
            <w:vAlign w:val="center"/>
          </w:tcPr>
          <w:p w14:paraId="46B85082">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noWrap w:val="0"/>
            <w:vAlign w:val="center"/>
          </w:tcPr>
          <w:p w14:paraId="1FAA9FF2">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市级机关</w:t>
            </w:r>
          </w:p>
        </w:tc>
      </w:tr>
      <w:tr w14:paraId="4F86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noWrap w:val="0"/>
            <w:vAlign w:val="center"/>
          </w:tcPr>
          <w:p w14:paraId="74A62AC0">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noWrap w:val="0"/>
            <w:vAlign w:val="center"/>
          </w:tcPr>
          <w:p w14:paraId="77A80E82">
            <w:pPr>
              <w:keepNext w:val="0"/>
              <w:keepLines w:val="0"/>
              <w:pageBreakBefore w:val="0"/>
              <w:widowControl w:val="0"/>
              <w:kinsoku/>
              <w:wordWrap w:val="0"/>
              <w:topLinePunct w:val="0"/>
              <w:autoSpaceDE/>
              <w:autoSpaceDN/>
              <w:bidi w:val="0"/>
              <w:adjustRightInd w:val="0"/>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北京市通州区</w:t>
            </w:r>
            <w:r>
              <w:rPr>
                <w:rFonts w:hint="eastAsia" w:ascii="仿宋_GB2312" w:hAnsi="仿宋_GB2312" w:eastAsia="仿宋_GB2312" w:cs="仿宋_GB2312"/>
                <w:color w:val="auto"/>
                <w:lang w:val="en-US" w:eastAsia="zh-CN"/>
              </w:rPr>
              <w:t>宏安街1</w:t>
            </w:r>
            <w:r>
              <w:rPr>
                <w:rFonts w:hint="eastAsia" w:ascii="仿宋_GB2312" w:hAnsi="仿宋_GB2312" w:eastAsia="仿宋_GB2312" w:cs="仿宋_GB2312"/>
                <w:color w:val="auto"/>
              </w:rPr>
              <w:t>号</w:t>
            </w:r>
          </w:p>
        </w:tc>
      </w:tr>
      <w:tr w14:paraId="0470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noWrap w:val="0"/>
            <w:vAlign w:val="center"/>
          </w:tcPr>
          <w:p w14:paraId="5DEBF809">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noWrap w:val="0"/>
            <w:vAlign w:val="center"/>
          </w:tcPr>
          <w:p w14:paraId="6A39F13C">
            <w:pPr>
              <w:keepNext w:val="0"/>
              <w:keepLines w:val="0"/>
              <w:pageBreakBefore w:val="0"/>
              <w:widowControl w:val="0"/>
              <w:kinsoku/>
              <w:wordWrap w:val="0"/>
              <w:topLinePunct w:val="0"/>
              <w:autoSpaceDE/>
              <w:autoSpaceDN/>
              <w:bidi w:val="0"/>
              <w:adjustRightInd w:val="0"/>
              <w:snapToGrid w:val="0"/>
              <w:jc w:val="both"/>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lang w:val="en-US" w:eastAsia="zh-CN"/>
              </w:rPr>
              <w:t>北京市应急管理科学技术研究院承担本市应急管理、安全生产、防灾减灾救灾等方面科学研究、技术支撑、宣传教育等工作；承担危险化学品登记注册，以及相关资格考试和注册管理等方面事务性工作。</w:t>
            </w:r>
          </w:p>
        </w:tc>
      </w:tr>
      <w:tr w14:paraId="2CE3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noWrap w:val="0"/>
            <w:vAlign w:val="center"/>
          </w:tcPr>
          <w:p w14:paraId="267926DE">
            <w:pPr>
              <w:keepNext w:val="0"/>
              <w:keepLines w:val="0"/>
              <w:pageBreakBefore w:val="0"/>
              <w:widowControl w:val="0"/>
              <w:kinsoku/>
              <w:wordWrap w:val="0"/>
              <w:topLinePunct w:val="0"/>
              <w:autoSpaceDE/>
              <w:autoSpaceDN/>
              <w:bidi w:val="0"/>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noWrap w:val="0"/>
            <w:vAlign w:val="center"/>
          </w:tcPr>
          <w:p w14:paraId="6DA238F8">
            <w:pPr>
              <w:keepNext w:val="0"/>
              <w:keepLines w:val="0"/>
              <w:pageBreakBefore w:val="0"/>
              <w:widowControl w:val="0"/>
              <w:kinsoku/>
              <w:wordWrap w:val="0"/>
              <w:topLinePunct w:val="0"/>
              <w:autoSpaceDE/>
              <w:autoSpaceDN/>
              <w:bidi w:val="0"/>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周圆、张英</w:t>
            </w:r>
          </w:p>
        </w:tc>
        <w:tc>
          <w:tcPr>
            <w:tcW w:w="1073" w:type="dxa"/>
            <w:noWrap w:val="0"/>
            <w:vAlign w:val="center"/>
          </w:tcPr>
          <w:p w14:paraId="7B0178F6">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noWrap w:val="0"/>
            <w:vAlign w:val="center"/>
          </w:tcPr>
          <w:p w14:paraId="3C889906">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lang w:eastAsia="zh-CN"/>
              </w:rPr>
            </w:pPr>
            <w:r>
              <w:rPr>
                <w:rFonts w:hint="eastAsia" w:eastAsia="方正仿宋简体" w:cs="Times New Roman"/>
                <w:color w:val="auto"/>
                <w:lang w:eastAsia="zh-CN"/>
              </w:rPr>
              <w:t>科长、研究员</w:t>
            </w:r>
          </w:p>
        </w:tc>
      </w:tr>
      <w:tr w14:paraId="6F50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noWrap w:val="0"/>
            <w:vAlign w:val="center"/>
          </w:tcPr>
          <w:p w14:paraId="7761E3F6">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noWrap w:val="0"/>
            <w:vAlign w:val="center"/>
          </w:tcPr>
          <w:p w14:paraId="3F736332">
            <w:pPr>
              <w:keepNext w:val="0"/>
              <w:keepLines w:val="0"/>
              <w:pageBreakBefore w:val="0"/>
              <w:widowControl w:val="0"/>
              <w:kinsoku/>
              <w:wordWrap w:val="0"/>
              <w:topLinePunct w:val="0"/>
              <w:autoSpaceDE/>
              <w:autoSpaceDN/>
              <w:bidi w:val="0"/>
              <w:adjustRightInd w:val="0"/>
              <w:snapToGrid w:val="0"/>
              <w:jc w:val="center"/>
              <w:rPr>
                <w:rFonts w:hint="default" w:ascii="仿宋_GB2312" w:hAnsi="仿宋_GB2312" w:eastAsia="仿宋_GB2312" w:cs="仿宋_GB2312"/>
                <w:bCs/>
                <w:color w:val="auto"/>
                <w:spacing w:val="6"/>
                <w:szCs w:val="28"/>
                <w:lang w:val="en-US" w:eastAsia="zh-CN"/>
              </w:rPr>
            </w:pPr>
            <w:r>
              <w:rPr>
                <w:rFonts w:hint="default" w:ascii="Times New Roman" w:hAnsi="Times New Roman" w:eastAsia="仿宋_GB2312" w:cs="Times New Roman"/>
                <w:bCs/>
                <w:color w:val="auto"/>
                <w:spacing w:val="6"/>
                <w:szCs w:val="28"/>
                <w:lang w:val="en-US" w:eastAsia="zh-CN"/>
              </w:rPr>
              <w:t>55575877,55573180</w:t>
            </w:r>
          </w:p>
        </w:tc>
        <w:tc>
          <w:tcPr>
            <w:tcW w:w="1073" w:type="dxa"/>
            <w:noWrap w:val="0"/>
            <w:vAlign w:val="center"/>
          </w:tcPr>
          <w:p w14:paraId="260AF02D">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noWrap w:val="0"/>
            <w:vAlign w:val="center"/>
          </w:tcPr>
          <w:p w14:paraId="05B00194">
            <w:pPr>
              <w:keepNext w:val="0"/>
              <w:keepLines w:val="0"/>
              <w:pageBreakBefore w:val="0"/>
              <w:widowControl w:val="0"/>
              <w:kinsoku/>
              <w:wordWrap w:val="0"/>
              <w:topLinePunct w:val="0"/>
              <w:autoSpaceDE/>
              <w:autoSpaceDN/>
              <w:bidi w:val="0"/>
              <w:adjustRightInd w:val="0"/>
              <w:jc w:val="center"/>
              <w:rPr>
                <w:rFonts w:hint="default" w:ascii="Times New Roman" w:hAnsi="Times New Roman" w:eastAsia="方正仿宋简体" w:cs="Times New Roman"/>
                <w:color w:val="auto"/>
                <w:lang w:val="en-US" w:eastAsia="zh-CN"/>
              </w:rPr>
            </w:pPr>
            <w:r>
              <w:rPr>
                <w:rFonts w:hint="default" w:ascii="Times New Roman" w:hAnsi="Times New Roman" w:eastAsia="方正仿宋简体" w:cs="Times New Roman"/>
                <w:color w:val="auto"/>
                <w:lang w:val="en-US" w:eastAsia="zh-CN"/>
              </w:rPr>
              <w:t>仅限赛事沟通使用</w:t>
            </w:r>
          </w:p>
        </w:tc>
      </w:tr>
    </w:tbl>
    <w:p w14:paraId="53E3E774">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7DC164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35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7ECD1EC4">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5F079FE8">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val="en-US" w:eastAsia="zh-CN"/>
              </w:rPr>
              <w:t>新时代应急科普内容创新与传播体系构建</w:t>
            </w:r>
          </w:p>
        </w:tc>
      </w:tr>
      <w:tr w14:paraId="7A8859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87"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4AAA9280">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1902BC8B">
            <w:pPr>
              <w:keepNext w:val="0"/>
              <w:keepLines w:val="0"/>
              <w:pageBreakBefore w:val="0"/>
              <w:widowControl w:val="0"/>
              <w:kinsoku/>
              <w:wordWrap w:val="0"/>
              <w:topLinePunct w:val="0"/>
              <w:autoSpaceDE/>
              <w:autoSpaceDN/>
              <w:bidi w:val="0"/>
              <w:adjustRightInd w:val="0"/>
              <w:snapToGrid w:val="0"/>
              <w:ind w:firstLine="1440" w:firstLineChars="6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公共安全、应急管理、教育科技</w:t>
            </w:r>
          </w:p>
        </w:tc>
      </w:tr>
      <w:tr w14:paraId="426776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722"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75E4CD2F">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773A9921">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当前应急科普普遍存在形式单一、互动性弱、传播力不足等问题，难以有效触达青年群体与社区居民。本题旨在鼓励大学生团队运用短视频、虚拟现实、互动游戏、直播等形式，开发一批兼具科学性、趣味性、传播力的应急科普作品或课程体系，提升公众防灾避险与自救互救能力。要求内容覆盖应急管理、防灾减灾、应急救援等场景，具备较强的可复制性和推广价值。</w:t>
            </w:r>
          </w:p>
        </w:tc>
      </w:tr>
      <w:tr w14:paraId="224FFF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371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2C6B3327">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15AC3D6F">
            <w:pPr>
              <w:keepNext w:val="0"/>
              <w:keepLines w:val="0"/>
              <w:pageBreakBefore w:val="0"/>
              <w:widowControl w:val="0"/>
              <w:kinsoku/>
              <w:wordWrap w:val="0"/>
              <w:topLinePunct w:val="0"/>
              <w:autoSpaceDE/>
              <w:autoSpaceDN/>
              <w:bidi w:val="0"/>
              <w:adjustRightInd w:val="0"/>
              <w:snapToGrid w:val="0"/>
              <w:ind w:firstLine="420" w:firstLineChars="200"/>
              <w:rPr>
                <w:rFonts w:hint="eastAsia" w:ascii="仿宋_GB2312" w:hAnsi="仿宋_GB2312" w:eastAsia="仿宋_GB2312" w:cs="仿宋_GB2312"/>
                <w:b w:val="0"/>
                <w:color w:val="000000"/>
                <w:sz w:val="21"/>
                <w:szCs w:val="21"/>
              </w:rPr>
            </w:pPr>
            <w:r>
              <w:rPr>
                <w:rFonts w:hint="eastAsia" w:ascii="仿宋_GB2312" w:hAnsi="仿宋_GB2312" w:eastAsia="仿宋_GB2312" w:cs="仿宋_GB2312"/>
                <w:b w:val="0"/>
                <w:color w:val="000000"/>
                <w:sz w:val="21"/>
                <w:szCs w:val="21"/>
              </w:rPr>
              <w:t>1.提交完整的应急科普项目方案，包括目标群体、内容形式、传播渠道、实施计划等；</w:t>
            </w:r>
          </w:p>
          <w:p w14:paraId="20EED0D5">
            <w:pPr>
              <w:keepNext w:val="0"/>
              <w:keepLines w:val="0"/>
              <w:pageBreakBefore w:val="0"/>
              <w:widowControl w:val="0"/>
              <w:kinsoku/>
              <w:wordWrap w:val="0"/>
              <w:topLinePunct w:val="0"/>
              <w:autoSpaceDE/>
              <w:autoSpaceDN/>
              <w:bidi w:val="0"/>
              <w:adjustRightInd w:val="0"/>
              <w:snapToGrid w:val="0"/>
              <w:ind w:firstLine="420" w:firstLineChars="200"/>
              <w:rPr>
                <w:rFonts w:hint="eastAsia" w:ascii="仿宋_GB2312" w:hAnsi="仿宋_GB2312" w:eastAsia="仿宋_GB2312" w:cs="仿宋_GB2312"/>
                <w:b w:val="0"/>
                <w:color w:val="000000"/>
                <w:sz w:val="21"/>
                <w:szCs w:val="21"/>
              </w:rPr>
            </w:pPr>
            <w:r>
              <w:rPr>
                <w:rFonts w:hint="eastAsia" w:ascii="仿宋_GB2312" w:hAnsi="仿宋_GB2312" w:eastAsia="仿宋_GB2312" w:cs="仿宋_GB2312"/>
                <w:b w:val="0"/>
                <w:color w:val="000000"/>
                <w:sz w:val="21"/>
                <w:szCs w:val="21"/>
              </w:rPr>
              <w:t>2.提供至少1个代表性科普作品（如视频、H5、小程序、VR场景等）；</w:t>
            </w:r>
          </w:p>
          <w:p w14:paraId="1109CBCA">
            <w:pPr>
              <w:keepNext w:val="0"/>
              <w:keepLines w:val="0"/>
              <w:pageBreakBefore w:val="0"/>
              <w:widowControl w:val="0"/>
              <w:kinsoku/>
              <w:wordWrap w:val="0"/>
              <w:topLinePunct w:val="0"/>
              <w:autoSpaceDE/>
              <w:autoSpaceDN/>
              <w:bidi w:val="0"/>
              <w:adjustRightInd w:val="0"/>
              <w:snapToGrid w:val="0"/>
              <w:ind w:firstLine="420" w:firstLineChars="200"/>
              <w:rPr>
                <w:rFonts w:hint="eastAsia" w:ascii="仿宋_GB2312" w:hAnsi="仿宋_GB2312" w:eastAsia="仿宋_GB2312" w:cs="仿宋_GB2312"/>
                <w:b w:val="0"/>
                <w:color w:val="000000"/>
                <w:sz w:val="21"/>
                <w:szCs w:val="21"/>
              </w:rPr>
            </w:pPr>
            <w:r>
              <w:rPr>
                <w:rFonts w:hint="eastAsia" w:ascii="仿宋_GB2312" w:hAnsi="仿宋_GB2312" w:eastAsia="仿宋_GB2312" w:cs="仿宋_GB2312"/>
                <w:b w:val="0"/>
                <w:color w:val="000000"/>
                <w:sz w:val="21"/>
                <w:szCs w:val="21"/>
              </w:rPr>
              <w:t>3.附传播效果预测或试点反馈报告；</w:t>
            </w:r>
          </w:p>
          <w:p w14:paraId="6F3B89F9">
            <w:pPr>
              <w:keepNext w:val="0"/>
              <w:keepLines w:val="0"/>
              <w:pageBreakBefore w:val="0"/>
              <w:widowControl w:val="0"/>
              <w:kinsoku/>
              <w:wordWrap w:val="0"/>
              <w:topLinePunct w:val="0"/>
              <w:autoSpaceDE/>
              <w:autoSpaceDN/>
              <w:bidi w:val="0"/>
              <w:adjustRightInd w:val="0"/>
              <w:snapToGrid w:val="0"/>
              <w:ind w:firstLine="42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sz w:val="21"/>
                <w:szCs w:val="21"/>
              </w:rPr>
              <w:t>4.作品须原创，不得侵犯他人知识产权</w:t>
            </w:r>
            <w:r>
              <w:rPr>
                <w:rFonts w:hint="eastAsia" w:ascii="仿宋_GB2312" w:hAnsi="仿宋_GB2312" w:eastAsia="仿宋_GB2312" w:cs="仿宋_GB2312"/>
                <w:b w:val="0"/>
                <w:color w:val="000000"/>
              </w:rPr>
              <w:t>。</w:t>
            </w:r>
          </w:p>
        </w:tc>
      </w:tr>
      <w:tr w14:paraId="7EAB8D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3077"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0F5A3C">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5F3A3B2D">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B8AE13">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作品实行百分制</w:t>
            </w:r>
          </w:p>
          <w:p w14:paraId="55F5BAB8">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1.内容科学性（</w:t>
            </w:r>
            <w:r>
              <w:rPr>
                <w:rFonts w:hint="eastAsia" w:ascii="仿宋_GB2312" w:hAnsi="仿宋_GB2312" w:eastAsia="仿宋_GB2312" w:cs="仿宋_GB2312"/>
                <w:b w:val="0"/>
                <w:bCs/>
                <w:color w:val="000000"/>
                <w:spacing w:val="6"/>
                <w:szCs w:val="28"/>
                <w:u w:val="none"/>
                <w:lang w:val="en-US" w:eastAsia="zh-CN"/>
              </w:rPr>
              <w:t>30分</w:t>
            </w:r>
            <w:r>
              <w:rPr>
                <w:rFonts w:hint="eastAsia" w:ascii="仿宋_GB2312" w:hAnsi="仿宋_GB2312" w:eastAsia="仿宋_GB2312" w:cs="仿宋_GB2312"/>
                <w:b w:val="0"/>
                <w:bCs/>
                <w:color w:val="000000"/>
                <w:spacing w:val="6"/>
                <w:szCs w:val="28"/>
                <w:u w:val="none"/>
              </w:rPr>
              <w:t>）：应急知识准确、权威；</w:t>
            </w:r>
          </w:p>
          <w:p w14:paraId="7C79F6E8">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2.形式创新性（</w:t>
            </w:r>
            <w:r>
              <w:rPr>
                <w:rFonts w:hint="eastAsia" w:ascii="仿宋_GB2312" w:hAnsi="仿宋_GB2312" w:eastAsia="仿宋_GB2312" w:cs="仿宋_GB2312"/>
                <w:b w:val="0"/>
                <w:bCs/>
                <w:color w:val="000000"/>
                <w:spacing w:val="6"/>
                <w:szCs w:val="28"/>
                <w:u w:val="none"/>
                <w:lang w:val="en-US" w:eastAsia="zh-CN"/>
              </w:rPr>
              <w:t>30分</w:t>
            </w:r>
            <w:r>
              <w:rPr>
                <w:rFonts w:hint="eastAsia" w:ascii="仿宋_GB2312" w:hAnsi="仿宋_GB2312" w:eastAsia="仿宋_GB2312" w:cs="仿宋_GB2312"/>
                <w:b w:val="0"/>
                <w:bCs/>
                <w:color w:val="000000"/>
                <w:spacing w:val="6"/>
                <w:szCs w:val="28"/>
                <w:u w:val="none"/>
              </w:rPr>
              <w:t>）：形式新颖、互动性强、适合传播；</w:t>
            </w:r>
          </w:p>
          <w:p w14:paraId="6AFFA086">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3.实施可行性（</w:t>
            </w:r>
            <w:r>
              <w:rPr>
                <w:rFonts w:hint="eastAsia" w:ascii="仿宋_GB2312" w:hAnsi="仿宋_GB2312" w:eastAsia="仿宋_GB2312" w:cs="仿宋_GB2312"/>
                <w:b w:val="0"/>
                <w:bCs/>
                <w:color w:val="000000"/>
                <w:spacing w:val="6"/>
                <w:szCs w:val="28"/>
                <w:u w:val="none"/>
                <w:lang w:val="en-US" w:eastAsia="zh-CN"/>
              </w:rPr>
              <w:t>20分</w:t>
            </w:r>
            <w:r>
              <w:rPr>
                <w:rFonts w:hint="eastAsia" w:ascii="仿宋_GB2312" w:hAnsi="仿宋_GB2312" w:eastAsia="仿宋_GB2312" w:cs="仿宋_GB2312"/>
                <w:b w:val="0"/>
                <w:bCs/>
                <w:color w:val="000000"/>
                <w:spacing w:val="6"/>
                <w:szCs w:val="28"/>
                <w:u w:val="none"/>
              </w:rPr>
              <w:t>）：方案可落地、可推广；</w:t>
            </w:r>
          </w:p>
          <w:p w14:paraId="5E9702C4">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4.社会影响力（</w:t>
            </w:r>
            <w:r>
              <w:rPr>
                <w:rFonts w:hint="eastAsia" w:ascii="仿宋_GB2312" w:hAnsi="仿宋_GB2312" w:eastAsia="仿宋_GB2312" w:cs="仿宋_GB2312"/>
                <w:b w:val="0"/>
                <w:bCs/>
                <w:color w:val="000000"/>
                <w:spacing w:val="6"/>
                <w:szCs w:val="28"/>
                <w:u w:val="none"/>
                <w:lang w:val="en-US" w:eastAsia="zh-CN"/>
              </w:rPr>
              <w:t>20分</w:t>
            </w:r>
            <w:r>
              <w:rPr>
                <w:rFonts w:hint="eastAsia" w:ascii="仿宋_GB2312" w:hAnsi="仿宋_GB2312" w:eastAsia="仿宋_GB2312" w:cs="仿宋_GB2312"/>
                <w:b w:val="0"/>
                <w:bCs/>
                <w:color w:val="000000"/>
                <w:spacing w:val="6"/>
                <w:szCs w:val="28"/>
                <w:u w:val="none"/>
              </w:rPr>
              <w:t>）：预计或实际触达人群广泛，行为改变效果明显。</w:t>
            </w:r>
          </w:p>
        </w:tc>
      </w:tr>
      <w:tr w14:paraId="7779B7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687"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3B12075B">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19AD88E0">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鼓励跨学科组队，如新闻传播、计算机、</w:t>
            </w:r>
            <w:r>
              <w:rPr>
                <w:rFonts w:hint="eastAsia" w:ascii="仿宋_GB2312" w:hAnsi="仿宋_GB2312" w:eastAsia="仿宋_GB2312" w:cs="仿宋_GB2312"/>
                <w:b w:val="0"/>
                <w:bCs/>
                <w:color w:val="000000"/>
                <w:spacing w:val="6"/>
                <w:szCs w:val="28"/>
                <w:lang w:eastAsia="zh-CN"/>
              </w:rPr>
              <w:t>防灾减灾、</w:t>
            </w:r>
            <w:r>
              <w:rPr>
                <w:rFonts w:hint="eastAsia" w:ascii="仿宋_GB2312" w:hAnsi="仿宋_GB2312" w:eastAsia="仿宋_GB2312" w:cs="仿宋_GB2312"/>
                <w:b w:val="0"/>
                <w:bCs/>
                <w:color w:val="000000"/>
                <w:spacing w:val="6"/>
                <w:szCs w:val="28"/>
              </w:rPr>
              <w:t>公共管理、教育学等专业学生联合参与。</w:t>
            </w:r>
          </w:p>
        </w:tc>
      </w:tr>
    </w:tbl>
    <w:p w14:paraId="2B42AAAC">
      <w:pPr>
        <w:keepNext w:val="0"/>
        <w:keepLines w:val="0"/>
        <w:pageBreakBefore w:val="0"/>
        <w:widowControl w:val="0"/>
        <w:kinsoku/>
        <w:wordWrap w:val="0"/>
        <w:topLinePunct w:val="0"/>
        <w:autoSpaceDE/>
        <w:autoSpaceDN/>
        <w:bidi w:val="0"/>
        <w:rPr>
          <w:rFonts w:hint="eastAsia" w:ascii="方正黑体简体" w:eastAsia="方正黑体简体"/>
          <w:bCs/>
          <w:color w:val="auto"/>
          <w:spacing w:val="6"/>
          <w:sz w:val="32"/>
          <w:szCs w:val="32"/>
        </w:rPr>
      </w:pPr>
      <w:r>
        <w:rPr>
          <w:rFonts w:hint="eastAsia" w:ascii="方正黑体简体" w:eastAsia="方正黑体简体"/>
          <w:bCs/>
          <w:color w:val="auto"/>
          <w:spacing w:val="6"/>
          <w:sz w:val="32"/>
          <w:szCs w:val="32"/>
        </w:rPr>
        <w:br w:type="page"/>
      </w:r>
    </w:p>
    <w:p w14:paraId="2FCC0A63">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18379F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569"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24AF06B9">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6147A519">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1.提供北京市应急科普教育</w:t>
            </w:r>
            <w:r>
              <w:rPr>
                <w:rFonts w:hint="eastAsia" w:ascii="仿宋_GB2312" w:hAnsi="仿宋_GB2312" w:eastAsia="仿宋_GB2312" w:cs="仿宋_GB2312"/>
                <w:b w:val="0"/>
                <w:bCs/>
                <w:color w:val="000000"/>
                <w:spacing w:val="6"/>
                <w:szCs w:val="28"/>
                <w:lang w:val="en-US" w:eastAsia="zh-CN"/>
              </w:rPr>
              <w:t>场馆</w:t>
            </w:r>
            <w:r>
              <w:rPr>
                <w:rFonts w:hint="eastAsia" w:ascii="仿宋_GB2312" w:hAnsi="仿宋_GB2312" w:eastAsia="仿宋_GB2312" w:cs="仿宋_GB2312"/>
                <w:b w:val="0"/>
                <w:bCs/>
                <w:color w:val="000000"/>
                <w:spacing w:val="6"/>
                <w:szCs w:val="28"/>
                <w:lang w:val="en-US"/>
              </w:rPr>
              <w:t>参观调研机会；</w:t>
            </w:r>
          </w:p>
          <w:p w14:paraId="5877B992">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2.安排应急管理专家</w:t>
            </w:r>
            <w:r>
              <w:rPr>
                <w:rFonts w:hint="eastAsia" w:ascii="仿宋_GB2312" w:hAnsi="仿宋_GB2312" w:eastAsia="仿宋_GB2312" w:cs="仿宋_GB2312"/>
                <w:b w:val="0"/>
                <w:bCs/>
                <w:color w:val="000000"/>
                <w:spacing w:val="6"/>
                <w:szCs w:val="28"/>
                <w:lang w:val="en-US" w:eastAsia="zh-CN"/>
              </w:rPr>
              <w:t>开展集体</w:t>
            </w:r>
            <w:r>
              <w:rPr>
                <w:rFonts w:hint="eastAsia" w:ascii="仿宋_GB2312" w:hAnsi="仿宋_GB2312" w:eastAsia="仿宋_GB2312" w:cs="仿宋_GB2312"/>
                <w:b w:val="0"/>
                <w:bCs/>
                <w:color w:val="000000"/>
                <w:spacing w:val="6"/>
                <w:szCs w:val="28"/>
                <w:lang w:val="en-US"/>
              </w:rPr>
              <w:t>指导；</w:t>
            </w:r>
          </w:p>
          <w:p w14:paraId="76D8BB99">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3.开放部分应急演练场景供拍摄或体验；</w:t>
            </w:r>
          </w:p>
          <w:p w14:paraId="1DBAF2B8">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rPr>
              <w:t>4.提供历年优秀应急科普案例资料包。</w:t>
            </w:r>
          </w:p>
        </w:tc>
      </w:tr>
      <w:tr w14:paraId="6AFB81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69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62DB72D3">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32DC89EB">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一、奖项设置</w:t>
            </w:r>
          </w:p>
          <w:p w14:paraId="44C5D34B">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原则上设“擂主”团队1个，根据实际情况评出相应的特等奖、一等奖、二等奖、三等奖项目若干。</w:t>
            </w:r>
          </w:p>
          <w:p w14:paraId="72A23DD9">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二、激励措施</w:t>
            </w:r>
          </w:p>
          <w:p w14:paraId="590F23D6">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1.获奖团队成员可优先获得相关单位实习岗位或志愿服务机会；</w:t>
            </w:r>
          </w:p>
          <w:p w14:paraId="254D9ADD">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2.优秀作品将推荐至“北京应急”官方平台推广，并纳入全市应急科普资源库。</w:t>
            </w:r>
          </w:p>
        </w:tc>
      </w:tr>
    </w:tbl>
    <w:p w14:paraId="1FEBD2DD">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2F3A41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179"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1A59DA45">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5D898F">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推动虚拟现实、人工智能等技术在应急科普中的创新应用，提升科普内容的表现力与传播效率，构建适应</w:t>
            </w:r>
            <w:r>
              <w:rPr>
                <w:rFonts w:hint="eastAsia" w:ascii="仿宋_GB2312" w:hAnsi="仿宋_GB2312" w:eastAsia="仿宋_GB2312" w:cs="仿宋_GB2312"/>
                <w:b w:val="0"/>
                <w:bCs/>
                <w:color w:val="000000"/>
                <w:spacing w:val="6"/>
                <w:szCs w:val="28"/>
                <w:u w:val="none"/>
                <w:lang w:val="en-US" w:eastAsia="zh-CN"/>
              </w:rPr>
              <w:t>新</w:t>
            </w:r>
            <w:r>
              <w:rPr>
                <w:rFonts w:hint="eastAsia" w:ascii="仿宋_GB2312" w:hAnsi="仿宋_GB2312" w:eastAsia="仿宋_GB2312" w:cs="仿宋_GB2312"/>
                <w:b w:val="0"/>
                <w:bCs/>
                <w:color w:val="000000"/>
                <w:spacing w:val="6"/>
                <w:szCs w:val="28"/>
                <w:u w:val="none"/>
              </w:rPr>
              <w:t>时代的应急科普内容生产与分发体系。</w:t>
            </w:r>
          </w:p>
        </w:tc>
      </w:tr>
      <w:tr w14:paraId="17BA9F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836"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005B3E">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9922E">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增强公众安全意识和自救互救能力，降低突发事件造成的人员伤亡与财产损失；推动应急科普产业发展，形成可复制、可推广的科普模式，助力“人人讲安全、个个会应急”社会氛围的营造。</w:t>
            </w:r>
          </w:p>
        </w:tc>
      </w:tr>
    </w:tbl>
    <w:p w14:paraId="5720EAB3">
      <w:pPr>
        <w:rPr>
          <w:rFonts w:hint="eastAsia" w:eastAsia="仿宋_GB2312"/>
          <w:lang w:val="en-US"/>
        </w:rPr>
      </w:pPr>
      <w:r>
        <w:rPr>
          <w:rFonts w:hint="eastAsia" w:eastAsia="仿宋_GB2312"/>
          <w:lang w:val="en-US"/>
        </w:rPr>
        <w:br w:type="page"/>
      </w:r>
    </w:p>
    <w:p w14:paraId="61B2795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52577711">
      <w:pPr>
        <w:widowControl w:val="0"/>
        <w:tabs>
          <w:tab w:val="left" w:pos="8640"/>
        </w:tabs>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—03</w:t>
      </w:r>
    </w:p>
    <w:p w14:paraId="1439DFAB">
      <w:pPr>
        <w:keepNext w:val="0"/>
        <w:keepLines w:val="0"/>
        <w:pageBreakBefore w:val="0"/>
        <w:widowControl w:val="0"/>
        <w:kinsoku/>
        <w:wordWrap w:val="0"/>
        <w:topLinePunct w:val="0"/>
        <w:autoSpaceDE/>
        <w:autoSpaceDN/>
        <w:bidi w:val="0"/>
        <w:rPr>
          <w:rFonts w:hint="eastAsia" w:eastAsia="方正黑体简体"/>
        </w:rPr>
      </w:pPr>
    </w:p>
    <w:p w14:paraId="777DBE02">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347"/>
        <w:gridCol w:w="2509"/>
      </w:tblGrid>
      <w:tr w14:paraId="7728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73E2FC4">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单位名称</w:t>
            </w:r>
          </w:p>
        </w:tc>
        <w:tc>
          <w:tcPr>
            <w:tcW w:w="6932" w:type="dxa"/>
            <w:gridSpan w:val="3"/>
            <w:vAlign w:val="center"/>
          </w:tcPr>
          <w:p w14:paraId="5959EC9A">
            <w:pPr>
              <w:keepNext w:val="0"/>
              <w:keepLines w:val="0"/>
              <w:pageBreakBefore w:val="0"/>
              <w:widowControl w:val="0"/>
              <w:kinsoku/>
              <w:wordWrap w:val="0"/>
              <w:overflowPunct w:val="0"/>
              <w:topLinePunct w:val="0"/>
              <w:autoSpaceDE/>
              <w:autoSpaceDN/>
              <w:bidi w:val="0"/>
              <w:adjustRightInd w:val="0"/>
              <w:snapToGrid w:val="0"/>
              <w:ind w:left="0" w:leftChars="0" w:right="0" w:rightChars="0" w:firstLine="0" w:firstLineChars="0"/>
              <w:jc w:val="center"/>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北京市科学技术研究院数字经济创新研究所</w:t>
            </w:r>
          </w:p>
        </w:tc>
      </w:tr>
      <w:tr w14:paraId="5734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272B8B09">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val="en-US"/>
              </w:rPr>
            </w:pPr>
            <w:r>
              <w:rPr>
                <w:rFonts w:hint="eastAsia" w:ascii="楷体_GB2312" w:hAnsi="楷体_GB2312" w:eastAsia="楷体_GB2312" w:cs="楷体_GB2312"/>
                <w:b w:val="0"/>
                <w:color w:val="000000"/>
                <w:sz w:val="28"/>
                <w:szCs w:val="28"/>
                <w:u w:val="none"/>
                <w:lang w:val="en-US"/>
              </w:rPr>
              <w:t>单位类型</w:t>
            </w:r>
          </w:p>
        </w:tc>
        <w:tc>
          <w:tcPr>
            <w:tcW w:w="6932" w:type="dxa"/>
            <w:gridSpan w:val="3"/>
            <w:vAlign w:val="center"/>
          </w:tcPr>
          <w:p w14:paraId="6698B19F">
            <w:pPr>
              <w:keepNext w:val="0"/>
              <w:keepLines w:val="0"/>
              <w:pageBreakBefore w:val="0"/>
              <w:widowControl w:val="0"/>
              <w:kinsoku/>
              <w:wordWrap w:val="0"/>
              <w:overflowPunct w:val="0"/>
              <w:topLinePunct w:val="0"/>
              <w:autoSpaceDE/>
              <w:autoSpaceDN/>
              <w:bidi w:val="0"/>
              <w:adjustRightInd w:val="0"/>
              <w:snapToGrid w:val="0"/>
              <w:ind w:left="0" w:leftChars="0" w:right="0" w:rightChars="0" w:firstLine="0" w:firstLineChars="0"/>
              <w:jc w:val="center"/>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科研机构</w:t>
            </w:r>
          </w:p>
        </w:tc>
      </w:tr>
      <w:tr w14:paraId="4B66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31F5DC14">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地址</w:t>
            </w:r>
          </w:p>
        </w:tc>
        <w:tc>
          <w:tcPr>
            <w:tcW w:w="6932" w:type="dxa"/>
            <w:gridSpan w:val="3"/>
            <w:vAlign w:val="center"/>
          </w:tcPr>
          <w:p w14:paraId="4782BBA4">
            <w:pPr>
              <w:keepNext w:val="0"/>
              <w:keepLines w:val="0"/>
              <w:pageBreakBefore w:val="0"/>
              <w:widowControl w:val="0"/>
              <w:kinsoku/>
              <w:wordWrap w:val="0"/>
              <w:overflowPunct w:val="0"/>
              <w:topLinePunct w:val="0"/>
              <w:autoSpaceDE/>
              <w:autoSpaceDN/>
              <w:bidi w:val="0"/>
              <w:adjustRightInd w:val="0"/>
              <w:snapToGrid w:val="0"/>
              <w:ind w:left="0" w:leftChars="0" w:right="0" w:rightChars="0" w:firstLine="0" w:firstLineChars="0"/>
              <w:jc w:val="center"/>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北京市西城区西直门南大街16号西楼</w:t>
            </w:r>
          </w:p>
        </w:tc>
      </w:tr>
      <w:tr w14:paraId="1F2A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465CCF71">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lang w:val="en-US"/>
              </w:rPr>
              <w:t>单位</w:t>
            </w:r>
            <w:r>
              <w:rPr>
                <w:rFonts w:hint="eastAsia" w:ascii="楷体_GB2312" w:hAnsi="楷体_GB2312" w:eastAsia="楷体_GB2312" w:cs="楷体_GB2312"/>
                <w:b w:val="0"/>
                <w:color w:val="000000"/>
                <w:sz w:val="28"/>
                <w:szCs w:val="28"/>
                <w:u w:val="none"/>
              </w:rPr>
              <w:t>简介</w:t>
            </w:r>
          </w:p>
        </w:tc>
        <w:tc>
          <w:tcPr>
            <w:tcW w:w="6932" w:type="dxa"/>
            <w:gridSpan w:val="3"/>
            <w:vAlign w:val="center"/>
          </w:tcPr>
          <w:p w14:paraId="2E29855D">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北京市科学技术研究院数字经济创新研究所（以下简称“数字经济所”）成立于2021年，属市科研院内设机构。</w:t>
            </w:r>
          </w:p>
          <w:p w14:paraId="5FE5C6EF">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数字经济所聚焦数字经济标杆城市建设需求，在北京全球数字经济标杆城市建设和京津冀协同发展等关键领域谋篇布局，重点围绕数字经济核心产业、数字治理、数字社会生态、数字经济评价等领域，并积极发挥智库作用，为国家、北京市各级党委、政府、企事业单位提供政策研究、战略咨询等服务。</w:t>
            </w:r>
          </w:p>
          <w:p w14:paraId="2C46DB41">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数字经济所重视与国内外相关机构和企业的合作与交流，共同推动数字经济的发展。现与中国社科院经济所、中国科协战略院、中国农业大学、中国信息通信研究院、北京国际大数据交易所、北京市社科院、中关村产业研究院以及天津社科院、河北省社科院、华东大数据交易所等单位形成合作网络，共同开展数字经济领域的研究活动。</w:t>
            </w:r>
          </w:p>
          <w:p w14:paraId="41BBCEB6">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eastAsia="zh-CN"/>
              </w:rPr>
              <w:t>近两年来，数字经济所主动承担国家、北京市科研任务，立项各级各类项目30余项；获得中央及北京市领导批示7项；在中央“三报一刊”（《人民日报》《光明日报》《经济日报》）发表高水平理论文章6篇；近50余篇决策专报被国家、市委市政府及相关决策部门内刊刊载。 </w:t>
            </w:r>
          </w:p>
        </w:tc>
      </w:tr>
      <w:tr w14:paraId="79EF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017FBB7E">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lang w:val="en-US"/>
              </w:rPr>
              <w:t>联系人</w:t>
            </w:r>
          </w:p>
        </w:tc>
        <w:tc>
          <w:tcPr>
            <w:tcW w:w="3076" w:type="dxa"/>
            <w:vAlign w:val="center"/>
          </w:tcPr>
          <w:p w14:paraId="32C78E66">
            <w:pPr>
              <w:keepNext w:val="0"/>
              <w:keepLines w:val="0"/>
              <w:pageBreakBefore w:val="0"/>
              <w:widowControl w:val="0"/>
              <w:kinsoku/>
              <w:wordWrap w:val="0"/>
              <w:overflowPunct w:val="0"/>
              <w:topLinePunct w:val="0"/>
              <w:autoSpaceDE/>
              <w:autoSpaceDN/>
              <w:bidi w:val="0"/>
              <w:adjustRightInd w:val="0"/>
              <w:snapToGrid w:val="0"/>
              <w:ind w:left="0" w:leftChars="0" w:right="0" w:rightChars="0" w:firstLine="0" w:firstLineChars="0"/>
              <w:jc w:val="center"/>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魏家齐</w:t>
            </w:r>
          </w:p>
        </w:tc>
        <w:tc>
          <w:tcPr>
            <w:tcW w:w="1347" w:type="dxa"/>
            <w:vAlign w:val="center"/>
          </w:tcPr>
          <w:p w14:paraId="4AED57BF">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职务</w:t>
            </w:r>
          </w:p>
        </w:tc>
        <w:tc>
          <w:tcPr>
            <w:tcW w:w="2509" w:type="dxa"/>
            <w:vAlign w:val="center"/>
          </w:tcPr>
          <w:p w14:paraId="47F95E0E">
            <w:pPr>
              <w:keepNext w:val="0"/>
              <w:keepLines w:val="0"/>
              <w:pageBreakBefore w:val="0"/>
              <w:widowControl w:val="0"/>
              <w:kinsoku/>
              <w:wordWrap w:val="0"/>
              <w:overflowPunct w:val="0"/>
              <w:topLinePunct w:val="0"/>
              <w:autoSpaceDE/>
              <w:autoSpaceDN/>
              <w:bidi w:val="0"/>
              <w:adjustRightInd w:val="0"/>
              <w:snapToGrid w:val="0"/>
              <w:ind w:left="0" w:leftChars="0" w:right="0" w:rightChars="0" w:firstLine="0" w:firstLineChars="0"/>
              <w:jc w:val="center"/>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部门负责人</w:t>
            </w:r>
          </w:p>
        </w:tc>
      </w:tr>
      <w:tr w14:paraId="2EC4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09E5DA0E">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val="en-US"/>
              </w:rPr>
            </w:pPr>
            <w:r>
              <w:rPr>
                <w:rFonts w:hint="eastAsia" w:ascii="楷体_GB2312" w:hAnsi="楷体_GB2312" w:eastAsia="楷体_GB2312" w:cs="楷体_GB2312"/>
                <w:b w:val="0"/>
                <w:color w:val="000000"/>
                <w:sz w:val="28"/>
                <w:szCs w:val="28"/>
                <w:u w:val="none"/>
                <w:lang w:val="en-US"/>
              </w:rPr>
              <w:t>联系方式</w:t>
            </w:r>
          </w:p>
        </w:tc>
        <w:tc>
          <w:tcPr>
            <w:tcW w:w="3076" w:type="dxa"/>
            <w:vAlign w:val="center"/>
          </w:tcPr>
          <w:p w14:paraId="5A59EC84">
            <w:pPr>
              <w:keepNext w:val="0"/>
              <w:keepLines w:val="0"/>
              <w:pageBreakBefore w:val="0"/>
              <w:widowControl w:val="0"/>
              <w:kinsoku/>
              <w:wordWrap w:val="0"/>
              <w:overflowPunct w:val="0"/>
              <w:topLinePunct w:val="0"/>
              <w:autoSpaceDE/>
              <w:autoSpaceDN/>
              <w:bidi w:val="0"/>
              <w:adjustRightInd w:val="0"/>
              <w:snapToGrid w:val="0"/>
              <w:ind w:left="0" w:leftChars="0" w:right="0" w:rightChars="0" w:firstLine="0" w:firstLineChars="0"/>
              <w:jc w:val="center"/>
              <w:rPr>
                <w:rFonts w:hint="default" w:ascii="仿宋_GB2312" w:hAnsi="仿宋_GB2312" w:eastAsia="仿宋_GB2312" w:cs="仿宋_GB2312"/>
                <w:b w:val="0"/>
                <w:bCs/>
                <w:color w:val="000000"/>
                <w:spacing w:val="6"/>
                <w:szCs w:val="28"/>
                <w:lang w:val="en-US" w:eastAsia="zh-CN"/>
              </w:rPr>
            </w:pPr>
            <w:r>
              <w:rPr>
                <w:rFonts w:hint="default" w:ascii="Times New Roman" w:hAnsi="Times New Roman" w:eastAsia="仿宋_GB2312" w:cs="Times New Roman"/>
                <w:b w:val="0"/>
                <w:bCs/>
                <w:color w:val="000000"/>
                <w:spacing w:val="6"/>
                <w:szCs w:val="28"/>
                <w:lang w:val="en-US" w:eastAsia="zh-CN"/>
              </w:rPr>
              <w:t>18801099507</w:t>
            </w:r>
          </w:p>
        </w:tc>
        <w:tc>
          <w:tcPr>
            <w:tcW w:w="1347" w:type="dxa"/>
            <w:vAlign w:val="center"/>
          </w:tcPr>
          <w:p w14:paraId="6C9B004D">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微信</w:t>
            </w:r>
          </w:p>
        </w:tc>
        <w:tc>
          <w:tcPr>
            <w:tcW w:w="2509" w:type="dxa"/>
            <w:vAlign w:val="center"/>
          </w:tcPr>
          <w:p w14:paraId="659D8CCE">
            <w:pPr>
              <w:keepNext w:val="0"/>
              <w:keepLines w:val="0"/>
              <w:pageBreakBefore w:val="0"/>
              <w:widowControl w:val="0"/>
              <w:kinsoku/>
              <w:wordWrap w:val="0"/>
              <w:overflowPunct w:val="0"/>
              <w:topLinePunct w:val="0"/>
              <w:autoSpaceDE/>
              <w:autoSpaceDN/>
              <w:bidi w:val="0"/>
              <w:adjustRightInd w:val="0"/>
              <w:snapToGrid w:val="0"/>
              <w:ind w:left="0" w:leftChars="0" w:right="0" w:rightChars="0" w:firstLine="0" w:firstLineChars="0"/>
              <w:jc w:val="center"/>
              <w:rPr>
                <w:rFonts w:hint="default" w:ascii="仿宋_GB2312" w:hAnsi="仿宋_GB2312" w:eastAsia="仿宋_GB2312" w:cs="仿宋_GB2312"/>
                <w:b w:val="0"/>
                <w:bCs/>
                <w:color w:val="000000"/>
                <w:spacing w:val="6"/>
                <w:szCs w:val="28"/>
                <w:lang w:val="en-US" w:eastAsia="zh-CN"/>
              </w:rPr>
            </w:pPr>
            <w:r>
              <w:rPr>
                <w:rFonts w:hint="eastAsia" w:ascii="Times New Roman" w:hAnsi="Times New Roman" w:eastAsia="仿宋_GB2312" w:cs="Times New Roman"/>
                <w:b w:val="0"/>
                <w:bCs/>
                <w:color w:val="000000"/>
                <w:spacing w:val="6"/>
                <w:szCs w:val="28"/>
                <w:lang w:val="en-US" w:eastAsia="zh-CN"/>
              </w:rPr>
              <w:t>18801099507</w:t>
            </w:r>
          </w:p>
        </w:tc>
      </w:tr>
    </w:tbl>
    <w:p w14:paraId="5B8494DA">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4C56C4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69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E9E8CAE">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lang w:val="en-US"/>
              </w:rPr>
              <w:t>选题</w:t>
            </w:r>
            <w:r>
              <w:rPr>
                <w:rFonts w:hint="eastAsia" w:ascii="楷体_GB2312" w:hAnsi="楷体_GB2312" w:eastAsia="楷体_GB2312" w:cs="楷体_GB2312"/>
                <w:b w:val="0"/>
                <w:color w:val="000000"/>
                <w:sz w:val="28"/>
                <w:szCs w:val="28"/>
                <w:u w:val="none"/>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DE7E37D">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基于数据驱动的“人工智能+城市治理”</w:t>
            </w:r>
          </w:p>
        </w:tc>
      </w:tr>
      <w:tr w14:paraId="79E658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781"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1E2DE95">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0421DD1">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城市治理、人工智能、智慧城市、政务服务、公共安全、交通管理、环境监测等。</w:t>
            </w:r>
          </w:p>
        </w:tc>
      </w:tr>
      <w:tr w14:paraId="2C5EF4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143"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811D7F8">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DDED8FC">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立足首都“四个中心”功能定位，提升“四个服务”水平，北京正深入落实城市总体规划，进一步提高超大城市现代化治理水平。尤其是以破解超大城市发展难题为导向，扎实推进城市精细化治理，持续加强交通综合治理，打造新型智慧城市发展样板，实现以治理数字化转型，深化数字政府、法治政府建设。</w:t>
            </w:r>
          </w:p>
          <w:p w14:paraId="597BB434">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当前，北京城市治理面临数据丰富但智能应用不足、决策以经验依据为主而缺乏数据预测支撑等问题，如交通拥堵、公共安全风险识别、应急响应效率等现实挑战，亟需利用人工智能技术提升治理精细化水平。</w:t>
            </w:r>
          </w:p>
          <w:p w14:paraId="3763F357">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参赛团队需围绕一个具体治理场景，如基于市民热线数据的民生诉求演化分析、AI辅助下的基层风险预警机制设计、多源数据融合的城市事件感知模式研究等，开展深入调研与理论分析，形成具有问题洞察力、技术理解力和政策可行性的研究报告或白皮书。成果应明确问题背景、分析现状瓶颈、提出创新思路，并给出可操作的实施路径建议。</w:t>
            </w:r>
          </w:p>
        </w:tc>
      </w:tr>
      <w:tr w14:paraId="493462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AAB934D">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ADF585B">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提交一份完整的研究报告或白皮书（字数建议8000–15000字），内容须包括：问题界定、相关城市实践综述、数据与AI技术应用逻辑分析、具体建议方案、潜在挑战与应对策略、预期成效评估等。鼓励使用公开数据集进行案例佐证，不强制技术建模。作品须为原创，逻辑严谨，兼具学术规范性与政策参考价值。</w:t>
            </w:r>
          </w:p>
        </w:tc>
      </w:tr>
      <w:tr w14:paraId="668BEB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85FAB">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作品评审</w:t>
            </w:r>
          </w:p>
          <w:p w14:paraId="3D26BF61">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CD06A">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1.问题针对性（30%），是否紧扣北京城市治理真实痛点；</w:t>
            </w:r>
          </w:p>
          <w:p w14:paraId="67B08C93">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2.研究深度（30%），对AI与数据驱动逻辑的理解是否准确深入；</w:t>
            </w:r>
          </w:p>
          <w:p w14:paraId="0E0C5E19">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3.建议可行性（25%），提出的对策是否具备落地条件与政策适配性；</w:t>
            </w:r>
          </w:p>
          <w:p w14:paraId="33399B0E">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4.创新性与启发性（15%），能否提供新视角或新模式。</w:t>
            </w:r>
          </w:p>
        </w:tc>
      </w:tr>
      <w:tr w14:paraId="6BA62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311F6D0">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BC2A7EC">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无。</w:t>
            </w:r>
          </w:p>
        </w:tc>
      </w:tr>
    </w:tbl>
    <w:p w14:paraId="63D47F32">
      <w:pPr>
        <w:keepNext w:val="0"/>
        <w:keepLines w:val="0"/>
        <w:pageBreakBefore w:val="0"/>
        <w:widowControl w:val="0"/>
        <w:kinsoku/>
        <w:wordWrap w:val="0"/>
        <w:topLinePunct w:val="0"/>
        <w:autoSpaceDE/>
        <w:autoSpaceDN/>
        <w:bidi w:val="0"/>
        <w:rPr>
          <w:rFonts w:eastAsia="方正黑体简体"/>
        </w:rPr>
      </w:pPr>
      <w:r>
        <w:rPr>
          <w:rFonts w:hint="eastAsia" w:eastAsia="方正黑体简体"/>
        </w:rPr>
        <w:br w:type="page"/>
      </w:r>
    </w:p>
    <w:p w14:paraId="2B6F301B">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10D69E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AA7EC67">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lang w:val="en-US"/>
              </w:rPr>
              <w:t>保障</w:t>
            </w:r>
            <w:r>
              <w:rPr>
                <w:rFonts w:hint="eastAsia" w:ascii="楷体_GB2312" w:hAnsi="楷体_GB2312" w:eastAsia="楷体_GB2312" w:cs="楷体_GB2312"/>
                <w:b w:val="0"/>
                <w:color w:val="000000"/>
                <w:sz w:val="28"/>
                <w:szCs w:val="28"/>
                <w:u w:val="none"/>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2176766">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组织城市治理、数字治理相关领域专家组成指导组，为揭榜团队提供专题辅导，解读政策背景、分享治理实践案例，并推荐权威文献等资源。设立答疑通道，协助团队精准把握研究方向，确保成果既有理论高度又贴近实际需求。</w:t>
            </w:r>
          </w:p>
        </w:tc>
      </w:tr>
      <w:tr w14:paraId="48F847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DADE1E8">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A6C78D0">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一、奖项设置</w:t>
            </w:r>
          </w:p>
          <w:p w14:paraId="54E4F86B">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原则上设“擂主”团队1个，根据实际情况评出相应的特等奖、一等奖、二等奖、三等奖项目若干。</w:t>
            </w:r>
          </w:p>
          <w:p w14:paraId="145B6102">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二、激励措施</w:t>
            </w:r>
          </w:p>
          <w:p w14:paraId="0498AC3C">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1.推荐与相关行业企业的深度合作和创业实践机会，帮助团队将项目转化为实际应用。</w:t>
            </w:r>
          </w:p>
          <w:p w14:paraId="68CD4320">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2.在宣传推广、培训指导、交流展示、人才招聘、创投对接等方面给予优先扶持。</w:t>
            </w:r>
          </w:p>
          <w:p w14:paraId="26D803B4">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3. 获奖团队成员可获得单位实习推荐资格。</w:t>
            </w:r>
          </w:p>
          <w:p w14:paraId="69DAA1F8">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4. 擂主团队研究成果将报送至相关市级主管部门参阅，并有机会参与我单位组织的专题研讨会进行汇报。</w:t>
            </w:r>
          </w:p>
        </w:tc>
      </w:tr>
    </w:tbl>
    <w:p w14:paraId="060BA119">
      <w:pPr>
        <w:rPr>
          <w:rFonts w:eastAsia="方正黑体简体"/>
          <w:sz w:val="32"/>
          <w:szCs w:val="32"/>
          <w:lang w:val="en-US"/>
        </w:rPr>
      </w:pPr>
      <w:r>
        <w:rPr>
          <w:rFonts w:hint="eastAsia" w:eastAsia="方正黑体简体"/>
          <w:sz w:val="32"/>
          <w:szCs w:val="32"/>
          <w:lang w:val="en-US"/>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5A5615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D077132">
            <w:pPr>
              <w:jc w:val="center"/>
              <w:rPr>
                <w:rFonts w:eastAsia="楷体_GB2312"/>
              </w:rPr>
            </w:pPr>
            <w:r>
              <w:rPr>
                <w:rFonts w:hint="eastAsia" w:eastAsia="楷体_GB2312"/>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CC746">
            <w:pPr>
              <w:rPr>
                <w:rFonts w:hint="eastAsia" w:eastAsia="仿宋_GB2312"/>
              </w:rPr>
            </w:pPr>
            <w:r>
              <w:rPr>
                <w:rFonts w:hint="eastAsia" w:eastAsia="仿宋_GB2312"/>
              </w:rPr>
              <w:t>项目将推动</w:t>
            </w:r>
            <w:r>
              <w:rPr>
                <w:rFonts w:eastAsia="仿宋_GB2312"/>
              </w:rPr>
              <w:t>AI</w:t>
            </w:r>
            <w:r>
              <w:rPr>
                <w:rFonts w:hint="eastAsia" w:eastAsia="仿宋_GB2312"/>
              </w:rPr>
              <w:t>技术从工具应用向城市治理场景深度渗透，探索数据驱动的智能决策新范式，有助于进一步理解数据要素如何赋能公共决策。通过系统梳理</w:t>
            </w:r>
            <w:r>
              <w:rPr>
                <w:rFonts w:eastAsia="仿宋_GB2312"/>
              </w:rPr>
              <w:t>AI</w:t>
            </w:r>
            <w:r>
              <w:rPr>
                <w:rFonts w:hint="eastAsia" w:eastAsia="仿宋_GB2312"/>
              </w:rPr>
              <w:t>在城市治理中的适用边界、实施路径与制度配套，为构建“可解释、可信任、可协同”的智能治理范式提供理论支撑与实践参考。</w:t>
            </w:r>
          </w:p>
        </w:tc>
      </w:tr>
      <w:tr w14:paraId="5566C9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2E1BA">
            <w:pPr>
              <w:jc w:val="center"/>
              <w:rPr>
                <w:rFonts w:eastAsia="楷体_GB2312"/>
              </w:rPr>
            </w:pPr>
            <w:r>
              <w:rPr>
                <w:rFonts w:hint="eastAsia" w:eastAsia="楷体_GB2312"/>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36161">
            <w:pPr>
              <w:rPr>
                <w:rFonts w:hint="eastAsia" w:eastAsia="仿宋_GB2312"/>
              </w:rPr>
            </w:pPr>
            <w:r>
              <w:rPr>
                <w:rFonts w:hint="eastAsia" w:eastAsia="仿宋_GB2312"/>
              </w:rPr>
              <w:t>高质量研究成果可为政府部门优化治理流程、制定</w:t>
            </w:r>
            <w:r>
              <w:rPr>
                <w:rFonts w:eastAsia="仿宋_GB2312"/>
              </w:rPr>
              <w:t>AI</w:t>
            </w:r>
            <w:r>
              <w:rPr>
                <w:rFonts w:hint="eastAsia" w:eastAsia="仿宋_GB2312"/>
              </w:rPr>
              <w:t>应用政策提供智力支持，有助于提升城市运行效率（如缩短响应周期、精准投放资源），增强市民获得感，形成可复制的“</w:t>
            </w:r>
            <w:r>
              <w:rPr>
                <w:rFonts w:eastAsia="仿宋_GB2312"/>
              </w:rPr>
              <w:t>AI+</w:t>
            </w:r>
            <w:r>
              <w:rPr>
                <w:rFonts w:hint="eastAsia" w:eastAsia="仿宋_GB2312"/>
              </w:rPr>
              <w:t>治理”北京经验。此外，有助于培育一批懂技术、通政策、有家国情怀的复合型青年人才，服务首都高质量发展大局。</w:t>
            </w:r>
          </w:p>
        </w:tc>
      </w:tr>
    </w:tbl>
    <w:p w14:paraId="153AB472">
      <w:pPr>
        <w:keepNext w:val="0"/>
        <w:keepLines w:val="0"/>
        <w:pageBreakBefore w:val="0"/>
        <w:widowControl w:val="0"/>
        <w:kinsoku/>
        <w:wordWrap w:val="0"/>
        <w:topLinePunct w:val="0"/>
        <w:autoSpaceDE/>
        <w:autoSpaceDN/>
        <w:bidi w:val="0"/>
        <w:rPr>
          <w:rFonts w:hint="eastAsia" w:eastAsia="楷体_GB2312"/>
          <w:lang w:val="en-US" w:eastAsia="zh-CN"/>
        </w:rPr>
      </w:pPr>
      <w:r>
        <w:rPr>
          <w:rFonts w:hint="eastAsia" w:eastAsia="楷体_GB2312"/>
          <w:lang w:val="en-US" w:eastAsia="zh-CN"/>
        </w:rPr>
        <w:br w:type="page"/>
      </w:r>
    </w:p>
    <w:p w14:paraId="71A1CF5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0358B9BE">
      <w:pPr>
        <w:widowControl w:val="0"/>
        <w:tabs>
          <w:tab w:val="left" w:pos="8640"/>
        </w:tabs>
        <w:adjustRightInd w:val="0"/>
        <w:snapToGrid w:val="0"/>
        <w:spacing w:line="560" w:lineRule="exact"/>
        <w:jc w:val="center"/>
        <w:rPr>
          <w:rFonts w:hint="eastAsia"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—04</w:t>
      </w:r>
    </w:p>
    <w:p w14:paraId="3873ABE5">
      <w:pPr>
        <w:keepNext w:val="0"/>
        <w:keepLines w:val="0"/>
        <w:pageBreakBefore w:val="0"/>
        <w:widowControl w:val="0"/>
        <w:tabs>
          <w:tab w:val="left" w:pos="8640"/>
        </w:tabs>
        <w:kinsoku/>
        <w:wordWrap w:val="0"/>
        <w:topLinePunct w:val="0"/>
        <w:autoSpaceDE/>
        <w:autoSpaceDN/>
        <w:bidi w:val="0"/>
        <w:adjustRightInd w:val="0"/>
        <w:snapToGrid w:val="0"/>
        <w:rPr>
          <w:rFonts w:ascii="方正黑体简体" w:eastAsia="方正黑体简体"/>
          <w:bCs/>
          <w:spacing w:val="6"/>
          <w:sz w:val="21"/>
          <w:szCs w:val="21"/>
        </w:rPr>
      </w:pPr>
    </w:p>
    <w:p w14:paraId="6AEAF6ED">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00AB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435FEFD5">
            <w:pPr>
              <w:keepNext w:val="0"/>
              <w:keepLines w:val="0"/>
              <w:pageBreakBefore w:val="0"/>
              <w:widowControl w:val="0"/>
              <w:kinsoku/>
              <w:wordWrap w:val="0"/>
              <w:topLinePunct w:val="0"/>
              <w:autoSpaceDE/>
              <w:autoSpaceDN/>
              <w:bidi w:val="0"/>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单位名称</w:t>
            </w:r>
          </w:p>
        </w:tc>
        <w:tc>
          <w:tcPr>
            <w:tcW w:w="6932" w:type="dxa"/>
            <w:gridSpan w:val="3"/>
            <w:vAlign w:val="center"/>
          </w:tcPr>
          <w:p w14:paraId="150A8C7C">
            <w:pPr>
              <w:keepNext w:val="0"/>
              <w:keepLines w:val="0"/>
              <w:pageBreakBefore w:val="0"/>
              <w:widowControl w:val="0"/>
              <w:kinsoku/>
              <w:wordWrap w:val="0"/>
              <w:topLinePunct w:val="0"/>
              <w:autoSpaceDE/>
              <w:autoSpaceDN/>
              <w:bidi w:val="0"/>
              <w:adjustRightInd w:val="0"/>
              <w:snapToGrid w:val="0"/>
              <w:jc w:val="center"/>
              <w:rPr>
                <w:rFonts w:ascii="仿宋_GB2312" w:hAnsi="仿宋_GB2312" w:eastAsia="仿宋_GB2312" w:cs="仿宋_GB2312"/>
              </w:rPr>
            </w:pPr>
            <w:r>
              <w:rPr>
                <w:rFonts w:eastAsia="仿宋"/>
                <w:color w:val="000000"/>
                <w:lang w:val="en-US"/>
              </w:rPr>
              <w:t>北京市</w:t>
            </w:r>
            <w:r>
              <w:rPr>
                <w:rFonts w:hint="eastAsia" w:eastAsia="仿宋"/>
                <w:color w:val="000000"/>
                <w:lang w:val="en-US"/>
              </w:rPr>
              <w:t>西城</w:t>
            </w:r>
            <w:r>
              <w:rPr>
                <w:rFonts w:eastAsia="仿宋"/>
                <w:color w:val="000000"/>
                <w:lang w:val="en-US"/>
              </w:rPr>
              <w:t>区人民政府</w:t>
            </w:r>
            <w:r>
              <w:rPr>
                <w:rFonts w:hint="eastAsia" w:eastAsia="仿宋"/>
                <w:color w:val="000000"/>
                <w:lang w:val="en-US"/>
              </w:rPr>
              <w:t>展览路</w:t>
            </w:r>
            <w:r>
              <w:rPr>
                <w:rFonts w:eastAsia="仿宋"/>
                <w:color w:val="000000"/>
                <w:lang w:val="en-US"/>
              </w:rPr>
              <w:t>街道办事处</w:t>
            </w:r>
          </w:p>
        </w:tc>
      </w:tr>
      <w:tr w14:paraId="70D87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18468E4B">
            <w:pPr>
              <w:keepNext w:val="0"/>
              <w:keepLines w:val="0"/>
              <w:pageBreakBefore w:val="0"/>
              <w:widowControl w:val="0"/>
              <w:kinsoku/>
              <w:wordWrap w:val="0"/>
              <w:topLinePunct w:val="0"/>
              <w:autoSpaceDE/>
              <w:autoSpaceDN/>
              <w:bidi w:val="0"/>
              <w:adjustRightInd w:val="0"/>
              <w:snapToGrid w:val="0"/>
              <w:jc w:val="center"/>
              <w:rPr>
                <w:rFonts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单位类型</w:t>
            </w:r>
          </w:p>
        </w:tc>
        <w:tc>
          <w:tcPr>
            <w:tcW w:w="6932" w:type="dxa"/>
            <w:gridSpan w:val="3"/>
            <w:vAlign w:val="center"/>
          </w:tcPr>
          <w:p w14:paraId="3A323A16">
            <w:pPr>
              <w:keepNext w:val="0"/>
              <w:keepLines w:val="0"/>
              <w:pageBreakBefore w:val="0"/>
              <w:widowControl w:val="0"/>
              <w:kinsoku/>
              <w:wordWrap w:val="0"/>
              <w:topLinePunct w:val="0"/>
              <w:autoSpaceDE/>
              <w:autoSpaceDN/>
              <w:bidi w:val="0"/>
              <w:adjustRightInd w:val="0"/>
              <w:snapToGrid w:val="0"/>
              <w:jc w:val="center"/>
              <w:rPr>
                <w:rFonts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街道乡镇</w:t>
            </w:r>
          </w:p>
        </w:tc>
      </w:tr>
      <w:tr w14:paraId="7ED7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3110F113">
            <w:pPr>
              <w:keepNext w:val="0"/>
              <w:keepLines w:val="0"/>
              <w:pageBreakBefore w:val="0"/>
              <w:widowControl w:val="0"/>
              <w:kinsoku/>
              <w:wordWrap w:val="0"/>
              <w:topLinePunct w:val="0"/>
              <w:autoSpaceDE/>
              <w:autoSpaceDN/>
              <w:bidi w:val="0"/>
              <w:adjustRightInd w:val="0"/>
              <w:spacing w:line="560" w:lineRule="exact"/>
              <w:jc w:val="center"/>
              <w:rPr>
                <w:rFonts w:ascii="楷体_GB2312" w:hAnsi="楷体_GB2312" w:eastAsia="楷体_GB2312" w:cs="楷体_GB2312"/>
                <w:sz w:val="28"/>
                <w:szCs w:val="32"/>
                <w:highlight w:val="yellow"/>
              </w:rPr>
            </w:pPr>
            <w:r>
              <w:rPr>
                <w:rFonts w:hint="eastAsia" w:ascii="楷体_GB2312" w:hAnsi="楷体_GB2312" w:eastAsia="楷体_GB2312" w:cs="楷体_GB2312"/>
                <w:sz w:val="28"/>
                <w:szCs w:val="32"/>
                <w:lang w:val="en-US"/>
              </w:rPr>
              <w:t>地址</w:t>
            </w:r>
          </w:p>
        </w:tc>
        <w:tc>
          <w:tcPr>
            <w:tcW w:w="6932" w:type="dxa"/>
            <w:gridSpan w:val="3"/>
            <w:vAlign w:val="center"/>
          </w:tcPr>
          <w:p w14:paraId="505C3618">
            <w:pPr>
              <w:keepNext w:val="0"/>
              <w:keepLines w:val="0"/>
              <w:pageBreakBefore w:val="0"/>
              <w:widowControl w:val="0"/>
              <w:kinsoku/>
              <w:wordWrap w:val="0"/>
              <w:topLinePunct w:val="0"/>
              <w:autoSpaceDE/>
              <w:autoSpaceDN/>
              <w:bidi w:val="0"/>
              <w:adjustRightInd w:val="0"/>
              <w:jc w:val="center"/>
              <w:rPr>
                <w:rFonts w:ascii="仿宋_GB2312" w:hAnsi="仿宋_GB2312" w:eastAsia="仿宋_GB2312" w:cs="仿宋_GB2312"/>
                <w:highlight w:val="yellow"/>
              </w:rPr>
            </w:pPr>
            <w:r>
              <w:rPr>
                <w:rFonts w:hint="eastAsia" w:ascii="仿宋_GB2312" w:hAnsi="仿宋_GB2312" w:eastAsia="仿宋_GB2312" w:cs="仿宋_GB2312"/>
              </w:rPr>
              <w:t>北京市西城区车公庄大街</w:t>
            </w:r>
            <w:r>
              <w:rPr>
                <w:rFonts w:ascii="仿宋_GB2312" w:hAnsi="仿宋_GB2312" w:eastAsia="仿宋_GB2312" w:cs="仿宋_GB2312"/>
              </w:rPr>
              <w:t>13</w:t>
            </w:r>
            <w:r>
              <w:rPr>
                <w:rFonts w:hint="eastAsia" w:ascii="仿宋_GB2312" w:hAnsi="仿宋_GB2312" w:eastAsia="仿宋_GB2312" w:cs="仿宋_GB2312"/>
              </w:rPr>
              <w:t>号</w:t>
            </w:r>
          </w:p>
        </w:tc>
      </w:tr>
      <w:tr w14:paraId="6B3C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153D2104">
            <w:pPr>
              <w:keepNext w:val="0"/>
              <w:keepLines w:val="0"/>
              <w:pageBreakBefore w:val="0"/>
              <w:widowControl w:val="0"/>
              <w:kinsoku/>
              <w:wordWrap w:val="0"/>
              <w:topLinePunct w:val="0"/>
              <w:autoSpaceDE/>
              <w:autoSpaceDN/>
              <w:bidi w:val="0"/>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lang w:val="en-US"/>
              </w:rPr>
              <w:t>单位</w:t>
            </w:r>
            <w:r>
              <w:rPr>
                <w:rFonts w:hint="eastAsia" w:ascii="楷体_GB2312" w:hAnsi="楷体_GB2312" w:eastAsia="楷体_GB2312" w:cs="楷体_GB2312"/>
                <w:sz w:val="28"/>
                <w:szCs w:val="32"/>
              </w:rPr>
              <w:t>简介</w:t>
            </w:r>
          </w:p>
        </w:tc>
        <w:tc>
          <w:tcPr>
            <w:tcW w:w="6932" w:type="dxa"/>
            <w:gridSpan w:val="3"/>
            <w:vAlign w:val="center"/>
          </w:tcPr>
          <w:p w14:paraId="0962E5B1">
            <w:pPr>
              <w:keepNext w:val="0"/>
              <w:keepLines w:val="0"/>
              <w:pageBreakBefore w:val="0"/>
              <w:widowControl w:val="0"/>
              <w:kinsoku/>
              <w:wordWrap w:val="0"/>
              <w:topLinePunct w:val="0"/>
              <w:autoSpaceDE/>
              <w:autoSpaceDN/>
              <w:bidi w:val="0"/>
              <w:adjustRightInd w:val="0"/>
              <w:snapToGrid w:val="0"/>
              <w:ind w:firstLine="504" w:firstLineChars="200"/>
              <w:jc w:val="both"/>
              <w:rPr>
                <w:rFonts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展览路街道地处西二环核心地带，是首都功能核心区的重要组成。</w:t>
            </w:r>
            <w:r>
              <w:rPr>
                <w:rFonts w:hint="eastAsia" w:ascii="仿宋_GB2312" w:hAnsi="仿宋_GB2312" w:eastAsia="仿宋_GB2312" w:cs="仿宋_GB2312"/>
                <w:bCs/>
                <w:spacing w:val="6"/>
                <w:szCs w:val="28"/>
                <w:lang w:val="en-US" w:eastAsia="zh-CN"/>
              </w:rPr>
              <w:t>是</w:t>
            </w:r>
            <w:r>
              <w:rPr>
                <w:rFonts w:hint="eastAsia" w:ascii="仿宋_GB2312" w:hAnsi="仿宋_GB2312" w:eastAsia="仿宋_GB2312" w:cs="仿宋_GB2312"/>
                <w:bCs/>
                <w:spacing w:val="6"/>
                <w:szCs w:val="28"/>
                <w:lang w:val="en-US"/>
              </w:rPr>
              <w:t>金融科技创新与高端服务集聚区，按照“两轴一带三片区”规划，处于综合服务与生活提升区的成熟区域。辖区面积约</w:t>
            </w:r>
            <w:r>
              <w:rPr>
                <w:rFonts w:ascii="仿宋_GB2312" w:hAnsi="仿宋_GB2312" w:eastAsia="仿宋_GB2312" w:cs="仿宋_GB2312"/>
                <w:bCs/>
                <w:spacing w:val="6"/>
                <w:szCs w:val="28"/>
                <w:lang w:val="en-US"/>
              </w:rPr>
              <w:t>5.5</w:t>
            </w:r>
            <w:r>
              <w:rPr>
                <w:rFonts w:hint="eastAsia" w:ascii="仿宋_GB2312" w:hAnsi="仿宋_GB2312" w:eastAsia="仿宋_GB2312" w:cs="仿宋_GB2312"/>
                <w:bCs/>
                <w:spacing w:val="6"/>
                <w:szCs w:val="28"/>
                <w:lang w:val="en-US"/>
              </w:rPr>
              <w:t>平方公里，常住人口约</w:t>
            </w:r>
            <w:r>
              <w:rPr>
                <w:rFonts w:ascii="仿宋_GB2312" w:hAnsi="仿宋_GB2312" w:eastAsia="仿宋_GB2312" w:cs="仿宋_GB2312"/>
                <w:bCs/>
                <w:spacing w:val="6"/>
                <w:szCs w:val="28"/>
                <w:lang w:val="en-US"/>
              </w:rPr>
              <w:t>12.8</w:t>
            </w:r>
            <w:r>
              <w:rPr>
                <w:rFonts w:hint="eastAsia" w:ascii="仿宋_GB2312" w:hAnsi="仿宋_GB2312" w:eastAsia="仿宋_GB2312" w:cs="仿宋_GB2312"/>
                <w:bCs/>
                <w:spacing w:val="6"/>
                <w:szCs w:val="28"/>
                <w:lang w:val="en-US"/>
              </w:rPr>
              <w:t>万人，户籍人口约</w:t>
            </w:r>
            <w:r>
              <w:rPr>
                <w:rFonts w:ascii="仿宋_GB2312" w:hAnsi="仿宋_GB2312" w:eastAsia="仿宋_GB2312" w:cs="仿宋_GB2312"/>
                <w:bCs/>
                <w:spacing w:val="6"/>
                <w:szCs w:val="28"/>
                <w:lang w:val="en-US"/>
              </w:rPr>
              <w:t>9.1</w:t>
            </w:r>
            <w:r>
              <w:rPr>
                <w:rFonts w:hint="eastAsia" w:ascii="仿宋_GB2312" w:hAnsi="仿宋_GB2312" w:eastAsia="仿宋_GB2312" w:cs="仿宋_GB2312"/>
                <w:bCs/>
                <w:spacing w:val="6"/>
                <w:szCs w:val="28"/>
                <w:lang w:val="en-US"/>
              </w:rPr>
              <w:t>万人，其中</w:t>
            </w:r>
            <w:r>
              <w:rPr>
                <w:rFonts w:ascii="仿宋_GB2312" w:hAnsi="仿宋_GB2312" w:eastAsia="仿宋_GB2312" w:cs="仿宋_GB2312"/>
                <w:bCs/>
                <w:spacing w:val="6"/>
                <w:szCs w:val="28"/>
                <w:lang w:val="en-US"/>
              </w:rPr>
              <w:t>60</w:t>
            </w:r>
            <w:r>
              <w:rPr>
                <w:rFonts w:hint="eastAsia" w:ascii="仿宋_GB2312" w:hAnsi="仿宋_GB2312" w:eastAsia="仿宋_GB2312" w:cs="仿宋_GB2312"/>
                <w:bCs/>
                <w:spacing w:val="6"/>
                <w:szCs w:val="28"/>
                <w:lang w:val="en-US"/>
              </w:rPr>
              <w:t>岁以上老人约</w:t>
            </w:r>
            <w:r>
              <w:rPr>
                <w:rFonts w:ascii="仿宋_GB2312" w:hAnsi="仿宋_GB2312" w:eastAsia="仿宋_GB2312" w:cs="仿宋_GB2312"/>
                <w:bCs/>
                <w:spacing w:val="6"/>
                <w:szCs w:val="28"/>
                <w:lang w:val="en-US"/>
              </w:rPr>
              <w:t>3.2</w:t>
            </w:r>
            <w:r>
              <w:rPr>
                <w:rFonts w:hint="eastAsia" w:ascii="仿宋_GB2312" w:hAnsi="仿宋_GB2312" w:eastAsia="仿宋_GB2312" w:cs="仿宋_GB2312"/>
                <w:bCs/>
                <w:spacing w:val="6"/>
                <w:szCs w:val="28"/>
                <w:lang w:val="en-US"/>
              </w:rPr>
              <w:t>万人，人口结构呈现深度老龄化特征。街道总体呈现“四多一高地”的鲜明格局：驻区单位多、老旧小区多、交通枢纽多、科普科技文化资源多，形成首都重要的科学文化传播高地。同时面临公共空间、产业载体与大型商业文体设施相对缺乏的挑战。辖区住宅产权构成复杂，以单位宿舍和早期商品房为主，涵盖央产、市产、区管公房及军产等多种类型，物业管理多元，治理难度与人文温情并存。</w:t>
            </w:r>
          </w:p>
          <w:p w14:paraId="258EA649">
            <w:pPr>
              <w:keepNext w:val="0"/>
              <w:keepLines w:val="0"/>
              <w:pageBreakBefore w:val="0"/>
              <w:widowControl w:val="0"/>
              <w:kinsoku/>
              <w:wordWrap w:val="0"/>
              <w:topLinePunct w:val="0"/>
              <w:autoSpaceDE/>
              <w:autoSpaceDN/>
              <w:bidi w:val="0"/>
              <w:adjustRightInd w:val="0"/>
              <w:snapToGrid w:val="0"/>
              <w:ind w:firstLine="504" w:firstLineChars="200"/>
              <w:jc w:val="both"/>
              <w:rPr>
                <w:rFonts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街道最突出的特色在于其密集且高能级的科普科技文化资源，形成了得天独厚的“科普文化生态圈”：拥有北京天文馆、中国古动物馆等国家级科普场馆，是全市乃至全国青少年科学启蒙的核心地标；辖区及周边汇集了中国科学院多个研究所、中国建筑科学研究院等顶尖科研机构，散发着浓厚的创新探索氛围；北京建筑大学等高校坐落其间，为区域注入了持续的科技活力与人才资源；北京动物园作为自然科学的重要窗口，与其它专业场馆共同构建起从天文、地质到生命科学的完整科普链条。这些资源不仅深刻塑造了街道“学府气息浓厚、科学氛围弥漫”的人文气质，也为基层治理与社区服务提供了独特的文化内核和赋能平台。街道正致力于推动这些存量资源优势转化为区域发展优势和社区服务优势，打造一个“科技触手可及，文化融入日常”的宜居、宜学、宜业之地。</w:t>
            </w:r>
          </w:p>
        </w:tc>
      </w:tr>
      <w:tr w14:paraId="1FD3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238181FC">
            <w:pPr>
              <w:keepNext w:val="0"/>
              <w:keepLines w:val="0"/>
              <w:pageBreakBefore w:val="0"/>
              <w:widowControl w:val="0"/>
              <w:kinsoku/>
              <w:wordWrap w:val="0"/>
              <w:topLinePunct w:val="0"/>
              <w:autoSpaceDE/>
              <w:autoSpaceDN/>
              <w:bidi w:val="0"/>
              <w:adjustRightInd w:val="0"/>
              <w:snapToGrid w:val="0"/>
              <w:ind w:firstLine="280" w:firstLineChars="100"/>
              <w:jc w:val="both"/>
              <w:rPr>
                <w:rFonts w:ascii="楷体_GB2312" w:hAnsi="楷体_GB2312" w:eastAsia="楷体_GB2312" w:cs="楷体_GB2312"/>
                <w:bCs/>
                <w:spacing w:val="6"/>
                <w:szCs w:val="28"/>
                <w:highlight w:val="none"/>
              </w:rPr>
            </w:pPr>
            <w:r>
              <w:rPr>
                <w:rFonts w:hint="eastAsia" w:ascii="楷体_GB2312" w:hAnsi="楷体_GB2312" w:eastAsia="楷体_GB2312" w:cs="楷体_GB2312"/>
                <w:sz w:val="28"/>
                <w:szCs w:val="32"/>
                <w:highlight w:val="none"/>
                <w:lang w:val="en-US"/>
              </w:rPr>
              <w:t>联系人</w:t>
            </w:r>
          </w:p>
        </w:tc>
        <w:tc>
          <w:tcPr>
            <w:tcW w:w="3076" w:type="dxa"/>
            <w:vAlign w:val="center"/>
          </w:tcPr>
          <w:p w14:paraId="783012FC">
            <w:pPr>
              <w:keepNext w:val="0"/>
              <w:keepLines w:val="0"/>
              <w:pageBreakBefore w:val="0"/>
              <w:widowControl w:val="0"/>
              <w:kinsoku/>
              <w:wordWrap w:val="0"/>
              <w:topLinePunct w:val="0"/>
              <w:autoSpaceDE/>
              <w:autoSpaceDN/>
              <w:bidi w:val="0"/>
              <w:adjustRightInd w:val="0"/>
              <w:snapToGrid w:val="0"/>
              <w:ind w:left="0" w:leftChars="0" w:right="0" w:rightChars="0" w:firstLine="0" w:firstLineChars="0"/>
              <w:jc w:val="center"/>
              <w:rPr>
                <w:rFonts w:hint="eastAsia" w:ascii="仿宋_GB2312" w:hAnsi="仿宋_GB2312" w:eastAsia="仿宋_GB2312" w:cs="仿宋_GB2312"/>
                <w:bCs/>
                <w:spacing w:val="6"/>
                <w:szCs w:val="28"/>
                <w:highlight w:val="none"/>
                <w:lang w:val="en-US" w:eastAsia="zh-CN"/>
              </w:rPr>
            </w:pPr>
            <w:r>
              <w:rPr>
                <w:rFonts w:hint="eastAsia" w:ascii="仿宋_GB2312" w:hAnsi="仿宋_GB2312" w:eastAsia="仿宋_GB2312" w:cs="仿宋_GB2312"/>
                <w:bCs/>
                <w:spacing w:val="6"/>
                <w:szCs w:val="28"/>
                <w:highlight w:val="none"/>
                <w:lang w:val="en-US" w:eastAsia="zh-CN"/>
              </w:rPr>
              <w:t>赵佳音</w:t>
            </w:r>
          </w:p>
        </w:tc>
        <w:tc>
          <w:tcPr>
            <w:tcW w:w="1073" w:type="dxa"/>
            <w:vAlign w:val="center"/>
          </w:tcPr>
          <w:p w14:paraId="3D7524C3">
            <w:pPr>
              <w:keepNext w:val="0"/>
              <w:keepLines w:val="0"/>
              <w:pageBreakBefore w:val="0"/>
              <w:widowControl w:val="0"/>
              <w:kinsoku/>
              <w:wordWrap w:val="0"/>
              <w:topLinePunct w:val="0"/>
              <w:autoSpaceDE/>
              <w:autoSpaceDN/>
              <w:bidi w:val="0"/>
              <w:adjustRightInd w:val="0"/>
              <w:spacing w:line="560" w:lineRule="exact"/>
              <w:jc w:val="center"/>
              <w:rPr>
                <w:rFonts w:ascii="楷体_GB2312" w:hAnsi="楷体_GB2312" w:eastAsia="楷体_GB2312" w:cs="楷体_GB2312"/>
                <w:sz w:val="28"/>
                <w:szCs w:val="32"/>
                <w:highlight w:val="none"/>
              </w:rPr>
            </w:pPr>
            <w:r>
              <w:rPr>
                <w:rFonts w:hint="eastAsia" w:ascii="楷体_GB2312" w:hAnsi="楷体_GB2312" w:eastAsia="楷体_GB2312" w:cs="楷体_GB2312"/>
                <w:sz w:val="28"/>
                <w:szCs w:val="32"/>
                <w:highlight w:val="none"/>
              </w:rPr>
              <w:t>职务</w:t>
            </w:r>
          </w:p>
        </w:tc>
        <w:tc>
          <w:tcPr>
            <w:tcW w:w="2783" w:type="dxa"/>
            <w:vAlign w:val="center"/>
          </w:tcPr>
          <w:p w14:paraId="3D787443">
            <w:pPr>
              <w:keepNext w:val="0"/>
              <w:keepLines w:val="0"/>
              <w:pageBreakBefore w:val="0"/>
              <w:widowControl w:val="0"/>
              <w:kinsoku/>
              <w:wordWrap w:val="0"/>
              <w:topLinePunct w:val="0"/>
              <w:autoSpaceDE/>
              <w:autoSpaceDN/>
              <w:bidi w:val="0"/>
              <w:adjustRightInd w:val="0"/>
              <w:jc w:val="center"/>
              <w:rPr>
                <w:rFonts w:hint="eastAsia" w:eastAsia="方正仿宋简体"/>
                <w:highlight w:val="none"/>
                <w:lang w:eastAsia="zh-CN"/>
              </w:rPr>
            </w:pPr>
            <w:r>
              <w:rPr>
                <w:rFonts w:hint="eastAsia" w:ascii="仿宋_GB2312" w:hAnsi="仿宋_GB2312" w:eastAsia="仿宋_GB2312" w:cs="仿宋_GB2312"/>
                <w:bCs/>
                <w:spacing w:val="6"/>
                <w:szCs w:val="28"/>
                <w:highlight w:val="none"/>
                <w:lang w:val="en-US" w:eastAsia="zh-CN"/>
              </w:rPr>
              <w:t>街道团工委书记</w:t>
            </w:r>
          </w:p>
        </w:tc>
      </w:tr>
      <w:tr w14:paraId="3D3F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6862194B">
            <w:pPr>
              <w:keepNext w:val="0"/>
              <w:keepLines w:val="0"/>
              <w:pageBreakBefore w:val="0"/>
              <w:widowControl w:val="0"/>
              <w:kinsoku/>
              <w:wordWrap w:val="0"/>
              <w:topLinePunct w:val="0"/>
              <w:autoSpaceDE/>
              <w:autoSpaceDN/>
              <w:bidi w:val="0"/>
              <w:adjustRightInd w:val="0"/>
              <w:snapToGrid w:val="0"/>
              <w:jc w:val="center"/>
              <w:rPr>
                <w:rFonts w:ascii="楷体_GB2312" w:hAnsi="楷体_GB2312" w:eastAsia="楷体_GB2312" w:cs="楷体_GB2312"/>
                <w:bCs/>
                <w:spacing w:val="6"/>
                <w:szCs w:val="28"/>
                <w:highlight w:val="none"/>
                <w:lang w:val="en-US"/>
              </w:rPr>
            </w:pPr>
            <w:r>
              <w:rPr>
                <w:rFonts w:hint="eastAsia" w:ascii="楷体_GB2312" w:hAnsi="楷体_GB2312" w:eastAsia="楷体_GB2312" w:cs="楷体_GB2312"/>
                <w:sz w:val="28"/>
                <w:szCs w:val="32"/>
                <w:highlight w:val="none"/>
                <w:lang w:val="en-US"/>
              </w:rPr>
              <w:t>联系方式</w:t>
            </w:r>
          </w:p>
        </w:tc>
        <w:tc>
          <w:tcPr>
            <w:tcW w:w="3076" w:type="dxa"/>
            <w:vAlign w:val="center"/>
          </w:tcPr>
          <w:p w14:paraId="032853E5">
            <w:pPr>
              <w:keepNext w:val="0"/>
              <w:keepLines w:val="0"/>
              <w:pageBreakBefore w:val="0"/>
              <w:widowControl w:val="0"/>
              <w:kinsoku/>
              <w:wordWrap w:val="0"/>
              <w:topLinePunct w:val="0"/>
              <w:autoSpaceDE/>
              <w:autoSpaceDN/>
              <w:bidi w:val="0"/>
              <w:adjustRightInd w:val="0"/>
              <w:snapToGrid w:val="0"/>
              <w:ind w:left="0" w:leftChars="0" w:right="0" w:rightChars="0" w:firstLine="0" w:firstLineChars="0"/>
              <w:jc w:val="center"/>
              <w:rPr>
                <w:rFonts w:hint="default" w:ascii="仿宋_GB2312" w:hAnsi="仿宋_GB2312" w:eastAsia="仿宋_GB2312" w:cs="仿宋_GB2312"/>
                <w:bCs/>
                <w:spacing w:val="6"/>
                <w:szCs w:val="28"/>
                <w:highlight w:val="none"/>
                <w:lang w:val="en-US" w:eastAsia="zh-CN"/>
              </w:rPr>
            </w:pPr>
            <w:r>
              <w:rPr>
                <w:rFonts w:hint="default" w:ascii="Times New Roman" w:hAnsi="Times New Roman" w:eastAsia="仿宋_GB2312" w:cs="Times New Roman"/>
                <w:bCs/>
                <w:spacing w:val="6"/>
                <w:szCs w:val="28"/>
                <w:highlight w:val="none"/>
                <w:lang w:val="en-US" w:eastAsia="zh-CN"/>
              </w:rPr>
              <w:t>13311092391</w:t>
            </w:r>
          </w:p>
        </w:tc>
        <w:tc>
          <w:tcPr>
            <w:tcW w:w="1073" w:type="dxa"/>
            <w:vAlign w:val="center"/>
          </w:tcPr>
          <w:p w14:paraId="071F6E77">
            <w:pPr>
              <w:keepNext w:val="0"/>
              <w:keepLines w:val="0"/>
              <w:pageBreakBefore w:val="0"/>
              <w:widowControl w:val="0"/>
              <w:kinsoku/>
              <w:wordWrap w:val="0"/>
              <w:topLinePunct w:val="0"/>
              <w:autoSpaceDE/>
              <w:autoSpaceDN/>
              <w:bidi w:val="0"/>
              <w:adjustRightInd w:val="0"/>
              <w:spacing w:line="560" w:lineRule="exact"/>
              <w:jc w:val="center"/>
              <w:rPr>
                <w:rFonts w:ascii="楷体_GB2312" w:hAnsi="楷体_GB2312" w:eastAsia="楷体_GB2312" w:cs="楷体_GB2312"/>
                <w:sz w:val="28"/>
                <w:szCs w:val="32"/>
                <w:highlight w:val="none"/>
              </w:rPr>
            </w:pPr>
            <w:r>
              <w:rPr>
                <w:rFonts w:hint="eastAsia" w:ascii="楷体_GB2312" w:hAnsi="楷体_GB2312" w:eastAsia="楷体_GB2312" w:cs="楷体_GB2312"/>
                <w:sz w:val="28"/>
                <w:szCs w:val="32"/>
                <w:highlight w:val="none"/>
              </w:rPr>
              <w:t>微信</w:t>
            </w:r>
          </w:p>
        </w:tc>
        <w:tc>
          <w:tcPr>
            <w:tcW w:w="2783" w:type="dxa"/>
            <w:vAlign w:val="center"/>
          </w:tcPr>
          <w:p w14:paraId="700C4D52">
            <w:pPr>
              <w:keepNext w:val="0"/>
              <w:keepLines w:val="0"/>
              <w:pageBreakBefore w:val="0"/>
              <w:widowControl w:val="0"/>
              <w:kinsoku/>
              <w:wordWrap w:val="0"/>
              <w:topLinePunct w:val="0"/>
              <w:autoSpaceDE/>
              <w:autoSpaceDN/>
              <w:bidi w:val="0"/>
              <w:adjustRightInd w:val="0"/>
              <w:jc w:val="center"/>
              <w:rPr>
                <w:rFonts w:eastAsia="方正仿宋简体"/>
                <w:highlight w:val="none"/>
              </w:rPr>
            </w:pPr>
            <w:r>
              <w:rPr>
                <w:rFonts w:hint="default" w:ascii="Times New Roman" w:hAnsi="Times New Roman" w:eastAsia="仿宋_GB2312" w:cs="Times New Roman"/>
                <w:bCs/>
                <w:spacing w:val="6"/>
                <w:szCs w:val="28"/>
                <w:highlight w:val="none"/>
                <w:lang w:val="en-US" w:eastAsia="zh-CN"/>
              </w:rPr>
              <w:t>13311092391</w:t>
            </w:r>
          </w:p>
        </w:tc>
      </w:tr>
    </w:tbl>
    <w:p w14:paraId="1DE67C18">
      <w:pPr>
        <w:keepNext w:val="0"/>
        <w:keepLines w:val="0"/>
        <w:pageBreakBefore w:val="0"/>
        <w:widowControl w:val="0"/>
        <w:tabs>
          <w:tab w:val="left" w:pos="8640"/>
        </w:tabs>
        <w:kinsoku/>
        <w:wordWrap w:val="0"/>
        <w:topLinePunct w:val="0"/>
        <w:autoSpaceDE/>
        <w:autoSpaceDN/>
        <w:bidi w:val="0"/>
        <w:adjustRightInd w:val="0"/>
        <w:snapToGrid w:val="0"/>
        <w:spacing w:line="560" w:lineRule="exact"/>
        <w:rPr>
          <w:rFonts w:ascii="方正黑体简体" w:eastAsia="方正黑体简体"/>
          <w:bCs/>
          <w:spacing w:val="6"/>
          <w:sz w:val="32"/>
          <w:szCs w:val="32"/>
        </w:rPr>
      </w:pPr>
    </w:p>
    <w:p w14:paraId="7F81D92B">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5C6605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D8EF9FC">
            <w:pPr>
              <w:keepNext w:val="0"/>
              <w:keepLines w:val="0"/>
              <w:pageBreakBefore w:val="0"/>
              <w:widowControl w:val="0"/>
              <w:kinsoku/>
              <w:wordWrap w:val="0"/>
              <w:topLinePunct w:val="0"/>
              <w:autoSpaceDE/>
              <w:autoSpaceDN/>
              <w:bidi w:val="0"/>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选题</w:t>
            </w:r>
            <w:r>
              <w:rPr>
                <w:rFonts w:hint="eastAsia" w:ascii="楷体_GB2312" w:hAnsi="楷体_GB2312" w:eastAsia="楷体_GB2312" w:cs="楷体_GB2312"/>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870243A">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科普资源赋能城市更新的智能化探索</w:t>
            </w:r>
          </w:p>
        </w:tc>
      </w:tr>
      <w:tr w14:paraId="0CF45F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96384CA">
            <w:pPr>
              <w:keepNext w:val="0"/>
              <w:keepLines w:val="0"/>
              <w:pageBreakBefore w:val="0"/>
              <w:widowControl w:val="0"/>
              <w:kinsoku/>
              <w:wordWrap w:val="0"/>
              <w:topLinePunct w:val="0"/>
              <w:autoSpaceDE/>
              <w:autoSpaceDN/>
              <w:bidi w:val="0"/>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708649E">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社会科学、人工智能、具身智能与机器人</w:t>
            </w:r>
          </w:p>
        </w:tc>
      </w:tr>
      <w:tr w14:paraId="5AAAF4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497F3BC">
            <w:pPr>
              <w:keepNext w:val="0"/>
              <w:keepLines w:val="0"/>
              <w:pageBreakBefore w:val="0"/>
              <w:widowControl w:val="0"/>
              <w:kinsoku/>
              <w:wordWrap w:val="0"/>
              <w:topLinePunct w:val="0"/>
              <w:autoSpaceDE/>
              <w:autoSpaceDN/>
              <w:bidi w:val="0"/>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3C8AB4C">
            <w:pPr>
              <w:keepNext w:val="0"/>
              <w:keepLines w:val="0"/>
              <w:pageBreakBefore w:val="0"/>
              <w:widowControl w:val="0"/>
              <w:kinsoku/>
              <w:wordWrap w:val="0"/>
              <w:topLinePunct w:val="0"/>
              <w:autoSpaceDE/>
              <w:autoSpaceDN/>
              <w:bidi w:val="0"/>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为</w:t>
            </w:r>
            <w:r>
              <w:rPr>
                <w:rFonts w:hint="eastAsia" w:ascii="仿宋_GB2312" w:hAnsi="仿宋_GB2312" w:eastAsia="仿宋_GB2312" w:cs="仿宋_GB2312"/>
                <w:bCs/>
                <w:color w:val="000000"/>
                <w:spacing w:val="6"/>
                <w:szCs w:val="28"/>
                <w:lang w:val="en-US"/>
              </w:rPr>
              <w:t>深入贯彻首都高质量发展要求，聚焦辖区资源禀赋与更新需求，积极探索以科普科技资源赋能城市有机更新的新路径。结合主题教育与调查研究，我们提出“科普融合”发展理念，旨在将辖区内的国家级场馆、顶尖科研机构与高等院校等资源优势，系统转化为社区治理与服务创新的核心动力，通过科技元素植入、智慧场景构建，破解老旧小区公共空间不足、服务设施短缺等问题，为居民创造高品质生活环境，以科技文化软实力助推区域协调发展和治理能力现代化。</w:t>
            </w:r>
          </w:p>
          <w:p w14:paraId="76B0DF5D">
            <w:pPr>
              <w:keepNext w:val="0"/>
              <w:keepLines w:val="0"/>
              <w:pageBreakBefore w:val="0"/>
              <w:widowControl w:val="0"/>
              <w:kinsoku/>
              <w:wordWrap w:val="0"/>
              <w:topLinePunct w:val="0"/>
              <w:autoSpaceDE/>
              <w:autoSpaceDN/>
              <w:bidi w:val="0"/>
              <w:adjustRightInd w:val="0"/>
              <w:snapToGrid w:val="0"/>
              <w:ind w:firstLine="506"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
                <w:bCs w:val="0"/>
                <w:color w:val="000000"/>
                <w:spacing w:val="6"/>
                <w:szCs w:val="28"/>
                <w:lang w:val="en-US"/>
              </w:rPr>
              <w:t>一是</w:t>
            </w:r>
            <w:r>
              <w:rPr>
                <w:rFonts w:hint="eastAsia" w:ascii="仿宋_GB2312" w:hAnsi="仿宋_GB2312" w:eastAsia="仿宋_GB2312" w:cs="仿宋_GB2312"/>
                <w:bCs/>
                <w:color w:val="000000"/>
                <w:spacing w:val="6"/>
                <w:szCs w:val="28"/>
                <w:lang w:val="en-US"/>
              </w:rPr>
              <w:t>开展全域科普资源数字化测绘与社会需求分析，运用大数据分析和社区调研，绘制“展览路科普资源活力地图”，精准识别资源分布与社区需求匹配点，建立动态资源数据库与合作需求清单，为资源精准下沉社区奠定数据基础。</w:t>
            </w:r>
          </w:p>
          <w:p w14:paraId="0B1F9F0D">
            <w:pPr>
              <w:keepNext w:val="0"/>
              <w:keepLines w:val="0"/>
              <w:pageBreakBefore w:val="0"/>
              <w:widowControl w:val="0"/>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
                <w:bCs w:val="0"/>
                <w:color w:val="000000"/>
                <w:spacing w:val="6"/>
                <w:szCs w:val="28"/>
                <w:lang w:val="en-US"/>
              </w:rPr>
              <w:t>二是</w:t>
            </w:r>
            <w:r>
              <w:rPr>
                <w:rFonts w:hint="eastAsia" w:ascii="仿宋_GB2312" w:hAnsi="仿宋_GB2312" w:eastAsia="仿宋_GB2312" w:cs="仿宋_GB2312"/>
                <w:bCs/>
                <w:color w:val="000000"/>
                <w:spacing w:val="6"/>
                <w:szCs w:val="28"/>
                <w:lang w:val="en-US"/>
              </w:rPr>
              <w:t>设计“科普漫步”智能微更新方案，运用具身智能、</w:t>
            </w:r>
            <w:r>
              <w:rPr>
                <w:rFonts w:ascii="仿宋_GB2312" w:hAnsi="仿宋_GB2312" w:eastAsia="仿宋_GB2312" w:cs="仿宋_GB2312"/>
                <w:bCs/>
                <w:color w:val="000000"/>
                <w:spacing w:val="6"/>
                <w:szCs w:val="28"/>
                <w:lang w:val="en-US"/>
              </w:rPr>
              <w:t>AR</w:t>
            </w:r>
            <w:r>
              <w:rPr>
                <w:rFonts w:hint="eastAsia" w:ascii="仿宋_GB2312" w:hAnsi="仿宋_GB2312" w:eastAsia="仿宋_GB2312" w:cs="仿宋_GB2312"/>
                <w:bCs/>
                <w:color w:val="000000"/>
                <w:spacing w:val="6"/>
                <w:szCs w:val="28"/>
                <w:lang w:val="en-US"/>
              </w:rPr>
              <w:t>等技术手段，在社区公共空间、街角绿地等节点，打造互动式、沉浸式的微型科普体验站。通过开发社区科普服务机器人、</w:t>
            </w:r>
            <w:r>
              <w:rPr>
                <w:rFonts w:ascii="仿宋_GB2312" w:hAnsi="仿宋_GB2312" w:eastAsia="仿宋_GB2312" w:cs="仿宋_GB2312"/>
                <w:bCs/>
                <w:color w:val="000000"/>
                <w:spacing w:val="6"/>
                <w:szCs w:val="28"/>
                <w:lang w:val="en-US"/>
              </w:rPr>
              <w:t>AR</w:t>
            </w:r>
            <w:r>
              <w:rPr>
                <w:rFonts w:hint="eastAsia" w:ascii="仿宋_GB2312" w:hAnsi="仿宋_GB2312" w:eastAsia="仿宋_GB2312" w:cs="仿宋_GB2312"/>
                <w:bCs/>
                <w:color w:val="000000"/>
                <w:spacing w:val="6"/>
                <w:szCs w:val="28"/>
                <w:lang w:val="en-US"/>
              </w:rPr>
              <w:t>增强现实导览系统等，将天文、古生物等主题科普内容融入居民日常生活动线，实现科技资源在物理与数字维度的“破墙”融合，以社区科普环境“智起来”带动居民科学素养“提起来”。</w:t>
            </w:r>
          </w:p>
        </w:tc>
      </w:tr>
      <w:tr w14:paraId="0D1BC2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19F079E">
            <w:pPr>
              <w:keepNext w:val="0"/>
              <w:keepLines w:val="0"/>
              <w:pageBreakBefore w:val="0"/>
              <w:widowControl w:val="0"/>
              <w:kinsoku/>
              <w:wordWrap w:val="0"/>
              <w:topLinePunct w:val="0"/>
              <w:autoSpaceDE/>
              <w:autoSpaceDN/>
              <w:bidi w:val="0"/>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0F874F8">
            <w:pPr>
              <w:keepNext w:val="0"/>
              <w:keepLines w:val="0"/>
              <w:pageBreakBefore w:val="0"/>
              <w:widowControl w:val="0"/>
              <w:kinsoku/>
              <w:wordWrap w:val="0"/>
              <w:topLinePunct w:val="0"/>
              <w:autoSpaceDE/>
              <w:autoSpaceDN/>
              <w:bidi w:val="0"/>
              <w:adjustRightInd w:val="0"/>
              <w:snapToGrid w:val="0"/>
              <w:ind w:firstLine="504" w:firstLineChars="200"/>
              <w:rPr>
                <w:rFonts w:ascii="仿宋_GB2312" w:hAnsi="仿宋_GB2312" w:eastAsia="仿宋_GB2312" w:cs="仿宋_GB2312"/>
                <w:color w:val="000000"/>
              </w:rPr>
            </w:pPr>
            <w:r>
              <w:rPr>
                <w:rFonts w:hint="eastAsia" w:ascii="仿宋_GB2312" w:hAnsi="仿宋_GB2312" w:eastAsia="仿宋_GB2312" w:cs="仿宋_GB2312"/>
                <w:bCs/>
                <w:color w:val="000000"/>
                <w:spacing w:val="6"/>
                <w:szCs w:val="28"/>
              </w:rPr>
              <w:t>围绕人工智能科技挖掘和利用科普资源赋能城市更新、地区</w:t>
            </w:r>
            <w:r>
              <w:rPr>
                <w:rFonts w:hint="eastAsia" w:ascii="仿宋_GB2312" w:hAnsi="仿宋_GB2312" w:eastAsia="仿宋_GB2312" w:cs="仿宋_GB2312"/>
                <w:bCs/>
                <w:color w:val="000000"/>
                <w:spacing w:val="6"/>
                <w:szCs w:val="28"/>
                <w:lang w:val="en-US"/>
              </w:rPr>
              <w:t>“科普漫步”</w:t>
            </w:r>
            <w:r>
              <w:rPr>
                <w:rFonts w:hint="eastAsia" w:ascii="仿宋_GB2312" w:hAnsi="仿宋_GB2312" w:eastAsia="仿宋_GB2312" w:cs="仿宋_GB2312"/>
                <w:bCs/>
                <w:color w:val="000000"/>
                <w:spacing w:val="6"/>
                <w:szCs w:val="28"/>
              </w:rPr>
              <w:t>文化建设，形成一篇</w:t>
            </w:r>
            <w:r>
              <w:rPr>
                <w:rFonts w:hint="eastAsia" w:ascii="仿宋_GB2312" w:hAnsi="仿宋_GB2312" w:eastAsia="仿宋_GB2312" w:cs="仿宋_GB2312"/>
                <w:bCs/>
                <w:color w:val="000000"/>
                <w:spacing w:val="6"/>
                <w:szCs w:val="28"/>
                <w:lang w:eastAsia="zh-CN"/>
              </w:rPr>
              <w:t>符合辖区实际</w:t>
            </w:r>
            <w:r>
              <w:rPr>
                <w:rFonts w:hint="eastAsia" w:ascii="仿宋_GB2312" w:hAnsi="仿宋_GB2312" w:eastAsia="仿宋_GB2312" w:cs="仿宋_GB2312"/>
                <w:bCs/>
                <w:color w:val="000000"/>
                <w:spacing w:val="6"/>
                <w:szCs w:val="28"/>
              </w:rPr>
              <w:t>、具有实践价值的调研报告。</w:t>
            </w:r>
          </w:p>
        </w:tc>
      </w:tr>
      <w:tr w14:paraId="4C6BD3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D19C6">
            <w:pPr>
              <w:keepNext w:val="0"/>
              <w:keepLines w:val="0"/>
              <w:pageBreakBefore w:val="0"/>
              <w:widowControl w:val="0"/>
              <w:kinsoku/>
              <w:wordWrap w:val="0"/>
              <w:overflowPunct w:val="0"/>
              <w:topLinePunct w:val="0"/>
              <w:autoSpaceDE/>
              <w:autoSpaceDN/>
              <w:bidi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2329E988">
            <w:pPr>
              <w:keepNext w:val="0"/>
              <w:keepLines w:val="0"/>
              <w:pageBreakBefore w:val="0"/>
              <w:widowControl w:val="0"/>
              <w:kinsoku/>
              <w:wordWrap w:val="0"/>
              <w:overflowPunct w:val="0"/>
              <w:topLinePunct w:val="0"/>
              <w:autoSpaceDE/>
              <w:autoSpaceDN/>
              <w:bidi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EC8A1">
            <w:pPr>
              <w:keepNext w:val="0"/>
              <w:keepLines w:val="0"/>
              <w:pageBreakBefore w:val="0"/>
              <w:widowControl w:val="0"/>
              <w:kinsoku/>
              <w:wordWrap w:val="0"/>
              <w:overflowPunct w:val="0"/>
              <w:topLinePunct w:val="0"/>
              <w:autoSpaceDE/>
              <w:autoSpaceDN/>
              <w:bidi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评审将重点考察作品是否精准聚焦主题、方案是否切实可行、科技应用是否具有创新突破</w:t>
            </w:r>
            <w:r>
              <w:rPr>
                <w:rFonts w:hint="eastAsia" w:ascii="仿宋_GB2312" w:hAnsi="仿宋_GB2312" w:eastAsia="仿宋_GB2312" w:cs="仿宋_GB2312"/>
                <w:bCs/>
                <w:color w:val="000000"/>
                <w:spacing w:val="6"/>
                <w:szCs w:val="28"/>
                <w:lang w:eastAsia="zh-CN"/>
              </w:rPr>
              <w:t>。</w:t>
            </w:r>
          </w:p>
        </w:tc>
      </w:tr>
      <w:tr w14:paraId="6ED3A1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2F01AB4">
            <w:pPr>
              <w:keepNext w:val="0"/>
              <w:keepLines w:val="0"/>
              <w:pageBreakBefore w:val="0"/>
              <w:widowControl w:val="0"/>
              <w:kinsoku/>
              <w:wordWrap w:val="0"/>
              <w:overflowPunct w:val="0"/>
              <w:topLinePunct w:val="0"/>
              <w:autoSpaceDE/>
              <w:autoSpaceDN/>
              <w:bidi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751234F">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Cs/>
                <w:color w:val="000000"/>
                <w:spacing w:val="6"/>
                <w:szCs w:val="28"/>
                <w:lang w:eastAsia="zh-CN"/>
              </w:rPr>
            </w:pPr>
            <w:r>
              <w:rPr>
                <w:rFonts w:hint="eastAsia" w:ascii="仿宋_GB2312" w:hAnsi="仿宋_GB2312" w:eastAsia="仿宋_GB2312" w:cs="仿宋_GB2312"/>
                <w:bCs/>
                <w:color w:val="000000"/>
                <w:spacing w:val="6"/>
                <w:szCs w:val="28"/>
                <w:lang w:eastAsia="zh-CN"/>
              </w:rPr>
              <w:t>无</w:t>
            </w:r>
          </w:p>
        </w:tc>
      </w:tr>
    </w:tbl>
    <w:p w14:paraId="455863C8">
      <w:pPr>
        <w:keepNext w:val="0"/>
        <w:keepLines w:val="0"/>
        <w:pageBreakBefore w:val="0"/>
        <w:widowControl w:val="0"/>
        <w:kinsoku/>
        <w:wordWrap w:val="0"/>
        <w:topLinePunct w:val="0"/>
        <w:autoSpaceDE/>
        <w:autoSpaceDN/>
        <w:bidi w:val="0"/>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0F8162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143553D">
            <w:pPr>
              <w:keepNext w:val="0"/>
              <w:keepLines w:val="0"/>
              <w:pageBreakBefore w:val="0"/>
              <w:widowControl w:val="0"/>
              <w:kinsoku/>
              <w:wordWrap w:val="0"/>
              <w:topLinePunct w:val="0"/>
              <w:autoSpaceDE/>
              <w:autoSpaceDN/>
              <w:bidi w:val="0"/>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保障</w:t>
            </w:r>
            <w:r>
              <w:rPr>
                <w:rFonts w:hint="eastAsia" w:ascii="楷体_GB2312" w:hAnsi="楷体_GB2312" w:eastAsia="楷体_GB2312" w:cs="楷体_GB2312"/>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DD3D48C">
            <w:pPr>
              <w:keepNext w:val="0"/>
              <w:keepLines w:val="0"/>
              <w:pageBreakBefore w:val="0"/>
              <w:widowControl w:val="0"/>
              <w:kinsoku/>
              <w:wordWrap w:val="0"/>
              <w:topLinePunct w:val="0"/>
              <w:autoSpaceDE/>
              <w:autoSpaceDN/>
              <w:bidi w:val="0"/>
              <w:adjustRightInd w:val="0"/>
              <w:snapToGrid w:val="0"/>
              <w:ind w:firstLine="504" w:firstLineChars="200"/>
              <w:jc w:val="both"/>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val="en-US"/>
              </w:rPr>
              <w:t>可为参赛团队提供实地参观、实践调研、提供可供参考的以往相关研究资料材料、</w:t>
            </w:r>
            <w:r>
              <w:rPr>
                <w:rFonts w:hint="eastAsia" w:ascii="仿宋_GB2312" w:hAnsi="仿宋_GB2312" w:eastAsia="仿宋_GB2312" w:cs="仿宋_GB2312"/>
                <w:bCs/>
                <w:color w:val="000000"/>
                <w:spacing w:val="6"/>
                <w:szCs w:val="28"/>
                <w:lang w:val="en-US" w:eastAsia="zh-CN"/>
              </w:rPr>
              <w:t>实践岗位</w:t>
            </w:r>
            <w:r>
              <w:rPr>
                <w:rFonts w:hint="eastAsia" w:ascii="仿宋_GB2312" w:hAnsi="仿宋_GB2312" w:eastAsia="仿宋_GB2312" w:cs="仿宋_GB2312"/>
                <w:bCs/>
                <w:color w:val="000000"/>
                <w:spacing w:val="6"/>
                <w:szCs w:val="28"/>
                <w:lang w:val="en-US"/>
              </w:rPr>
              <w:t>等，配备专门指导人员、推动产教融合。</w:t>
            </w:r>
          </w:p>
        </w:tc>
      </w:tr>
      <w:tr w14:paraId="26AF9C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24FD2FA">
            <w:pPr>
              <w:keepNext w:val="0"/>
              <w:keepLines w:val="0"/>
              <w:pageBreakBefore w:val="0"/>
              <w:widowControl w:val="0"/>
              <w:kinsoku/>
              <w:wordWrap w:val="0"/>
              <w:topLinePunct w:val="0"/>
              <w:autoSpaceDE/>
              <w:autoSpaceDN/>
              <w:bidi w:val="0"/>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1786534">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eastAsia="仿宋"/>
                <w:bCs/>
                <w:spacing w:val="6"/>
                <w:szCs w:val="28"/>
                <w:lang w:val="en-US"/>
              </w:rPr>
            </w:pPr>
            <w:r>
              <w:rPr>
                <w:rFonts w:hint="eastAsia" w:eastAsia="仿宋"/>
                <w:bCs/>
                <w:spacing w:val="6"/>
                <w:szCs w:val="28"/>
                <w:lang w:val="en-US"/>
              </w:rPr>
              <w:t>一、奖项设置</w:t>
            </w:r>
          </w:p>
          <w:p w14:paraId="0BD3AD84">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eastAsia="仿宋"/>
                <w:bCs/>
                <w:spacing w:val="6"/>
                <w:szCs w:val="28"/>
                <w:lang w:val="en-US"/>
              </w:rPr>
            </w:pPr>
            <w:r>
              <w:rPr>
                <w:rFonts w:hint="eastAsia" w:eastAsia="仿宋"/>
                <w:bCs/>
                <w:spacing w:val="6"/>
                <w:szCs w:val="28"/>
                <w:lang w:val="en-US"/>
              </w:rPr>
              <w:t>原则上设“擂主”团队1个，根据实际情况评出相应的特等奖、一等奖、二等奖、三等奖项目若干。</w:t>
            </w:r>
          </w:p>
          <w:p w14:paraId="2D7E2611">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eastAsia="仿宋"/>
                <w:bCs/>
                <w:spacing w:val="6"/>
                <w:szCs w:val="28"/>
                <w:lang w:val="en-US"/>
              </w:rPr>
            </w:pPr>
            <w:r>
              <w:rPr>
                <w:rFonts w:hint="eastAsia" w:eastAsia="仿宋"/>
                <w:bCs/>
                <w:spacing w:val="6"/>
                <w:szCs w:val="28"/>
                <w:lang w:val="en-US"/>
              </w:rPr>
              <w:t>二、激励措施</w:t>
            </w:r>
          </w:p>
          <w:p w14:paraId="1D53CDB5">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eastAsia="仿宋"/>
                <w:bCs/>
                <w:spacing w:val="6"/>
                <w:szCs w:val="28"/>
                <w:lang w:val="en-US"/>
              </w:rPr>
            </w:pPr>
            <w:r>
              <w:rPr>
                <w:rFonts w:hint="eastAsia" w:eastAsia="仿宋"/>
                <w:bCs/>
                <w:spacing w:val="6"/>
                <w:szCs w:val="28"/>
                <w:lang w:val="en-US"/>
              </w:rPr>
              <w:t>可为获奖者提供社区实践机会，推荐辖区内就业岗位，方案将获展示推广。</w:t>
            </w:r>
          </w:p>
          <w:p w14:paraId="10B44C11">
            <w:pPr>
              <w:keepNext w:val="0"/>
              <w:keepLines w:val="0"/>
              <w:pageBreakBefore w:val="0"/>
              <w:widowControl w:val="0"/>
              <w:kinsoku/>
              <w:wordWrap w:val="0"/>
              <w:topLinePunct w:val="0"/>
              <w:autoSpaceDE/>
              <w:autoSpaceDN/>
              <w:bidi w:val="0"/>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eastAsia="仿宋"/>
                <w:bCs/>
                <w:spacing w:val="6"/>
                <w:szCs w:val="28"/>
                <w:lang w:val="en-US"/>
              </w:rPr>
              <w:t>“擂主”团队额外奖励：将深度参与实际项目，获得定制化实践。</w:t>
            </w:r>
          </w:p>
        </w:tc>
      </w:tr>
    </w:tbl>
    <w:p w14:paraId="3F250749">
      <w:pPr>
        <w:tabs>
          <w:tab w:val="left" w:pos="8640"/>
        </w:tabs>
        <w:adjustRightInd w:val="0"/>
        <w:snapToGrid w:val="0"/>
        <w:spacing w:line="560" w:lineRule="exact"/>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06B33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25569BC8">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0004F7">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题目聚焦</w:t>
            </w:r>
            <w:r>
              <w:rPr>
                <w:rFonts w:ascii="仿宋_GB2312" w:hAnsi="仿宋_GB2312" w:eastAsia="仿宋_GB2312" w:cs="仿宋_GB2312"/>
                <w:bCs/>
                <w:color w:val="000000"/>
                <w:spacing w:val="6"/>
                <w:szCs w:val="28"/>
              </w:rPr>
              <w:t>AI</w:t>
            </w:r>
            <w:r>
              <w:rPr>
                <w:rFonts w:hint="eastAsia" w:ascii="仿宋_GB2312" w:hAnsi="仿宋_GB2312" w:eastAsia="仿宋_GB2312" w:cs="仿宋_GB2312"/>
                <w:bCs/>
                <w:color w:val="000000"/>
                <w:spacing w:val="6"/>
                <w:szCs w:val="28"/>
              </w:rPr>
              <w:t>、具身智能与社会科学在城市治理中的集成应用。核心在于攻克两大难题：一是构建多源数据融合的“资源</w:t>
            </w:r>
            <w:r>
              <w:rPr>
                <w:rFonts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rPr>
              <w:t>需求”智能匹配系统，推动科普服务从粗放供给向精准响应转变；二是研发适用于开放社区、低成本、易维护的轻量化智能交互终端（如机器人、</w:t>
            </w:r>
            <w:r>
              <w:rPr>
                <w:rFonts w:ascii="仿宋_GB2312" w:hAnsi="仿宋_GB2312" w:eastAsia="仿宋_GB2312" w:cs="仿宋_GB2312"/>
                <w:bCs/>
                <w:color w:val="000000"/>
                <w:spacing w:val="6"/>
                <w:szCs w:val="28"/>
              </w:rPr>
              <w:t>AR</w:t>
            </w:r>
            <w:r>
              <w:rPr>
                <w:rFonts w:hint="eastAsia" w:ascii="仿宋_GB2312" w:hAnsi="仿宋_GB2312" w:eastAsia="仿宋_GB2312" w:cs="仿宋_GB2312"/>
                <w:bCs/>
                <w:color w:val="000000"/>
                <w:spacing w:val="6"/>
                <w:szCs w:val="28"/>
              </w:rPr>
              <w:t>导览），积累真实场景应用数据，牵引相关技术向普惠性公共服务领域迭代升级。</w:t>
            </w:r>
          </w:p>
        </w:tc>
      </w:tr>
      <w:tr w14:paraId="2C39E7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A3DBB">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ABB16E">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社会效益上，项目直面老旧小区服务短缺与老龄化挑战，通过科技手段将顶级科普资源普惠于民，切实提升“一老一小”获得感，并形成可复制的“智慧微更新”模式，以文化软实力增强社区凝聚力。经济效益上，将催生“社区级”智慧公共服务新市场，为相关科技企业开辟明确的应用场景与商业化路径，同时通过提升区域环境软实力，吸引人才集聚，间接带动消费与产业升级。</w:t>
            </w:r>
          </w:p>
        </w:tc>
      </w:tr>
    </w:tbl>
    <w:p w14:paraId="6305FAEB">
      <w:pPr>
        <w:rPr>
          <w:rFonts w:hint="eastAsia" w:eastAsia="仿宋_GB2312"/>
          <w:lang w:val="en-US"/>
        </w:rPr>
      </w:pPr>
      <w:r>
        <w:rPr>
          <w:rFonts w:hint="eastAsia" w:eastAsia="仿宋_GB2312"/>
          <w:lang w:val="en-US"/>
        </w:rPr>
        <w:br w:type="page"/>
      </w:r>
    </w:p>
    <w:p w14:paraId="230669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方正小标宋简体"/>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方正小标宋简体"/>
          <w:b w:val="0"/>
          <w:bCs/>
          <w:kern w:val="2"/>
          <w:sz w:val="44"/>
          <w:szCs w:val="32"/>
          <w:highlight w:val="none"/>
          <w:lang w:val="en-US" w:eastAsia="zh-CN"/>
        </w:rPr>
        <w:t>专项赛</w:t>
      </w:r>
    </w:p>
    <w:p w14:paraId="1ABAC91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方正小标宋简体"/>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—05</w:t>
      </w:r>
    </w:p>
    <w:p w14:paraId="09E90388">
      <w:pPr>
        <w:keepNext w:val="0"/>
        <w:keepLines w:val="0"/>
        <w:pageBreakBefore w:val="0"/>
        <w:widowControl w:val="0"/>
        <w:kinsoku/>
        <w:wordWrap w:val="0"/>
        <w:topLinePunct w:val="0"/>
        <w:autoSpaceDE/>
        <w:autoSpaceDN/>
        <w:bidi w:val="0"/>
        <w:rPr>
          <w:rFonts w:eastAsia="方正黑体简体"/>
        </w:rPr>
      </w:pPr>
    </w:p>
    <w:p w14:paraId="126FFC4D">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200D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75FE0C6">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单位名称</w:t>
            </w:r>
          </w:p>
        </w:tc>
        <w:tc>
          <w:tcPr>
            <w:tcW w:w="6932" w:type="dxa"/>
            <w:gridSpan w:val="3"/>
            <w:vAlign w:val="center"/>
          </w:tcPr>
          <w:p w14:paraId="6BFE2511">
            <w:pPr>
              <w:keepNext w:val="0"/>
              <w:keepLines w:val="0"/>
              <w:pageBreakBefore w:val="0"/>
              <w:widowControl w:val="0"/>
              <w:kinsoku/>
              <w:wordWrap w:val="0"/>
              <w:topLinePunct w:val="0"/>
              <w:autoSpaceDE/>
              <w:autoSpaceDN/>
              <w:bidi w:val="0"/>
              <w:adjustRightInd w:val="0"/>
              <w:snapToGrid w:val="0"/>
              <w:ind w:left="0" w:leftChars="0" w:right="0" w:rightChars="0" w:firstLine="0" w:firstLineChars="0"/>
              <w:jc w:val="center"/>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val="en-US"/>
              </w:rPr>
              <w:t>西城区新街口街道西四北三条社区</w:t>
            </w:r>
          </w:p>
        </w:tc>
      </w:tr>
      <w:tr w14:paraId="46D2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5547E966">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color w:val="000000"/>
                <w:sz w:val="28"/>
                <w:szCs w:val="28"/>
                <w:lang w:val="en-US"/>
              </w:rPr>
            </w:pPr>
            <w:r>
              <w:rPr>
                <w:rFonts w:hint="eastAsia" w:ascii="楷体_GB2312" w:hAnsi="楷体_GB2312" w:eastAsia="楷体_GB2312" w:cs="楷体_GB2312"/>
                <w:color w:val="000000"/>
                <w:sz w:val="28"/>
                <w:szCs w:val="28"/>
                <w:lang w:val="en-US"/>
              </w:rPr>
              <w:t>单位类型</w:t>
            </w:r>
          </w:p>
        </w:tc>
        <w:tc>
          <w:tcPr>
            <w:tcW w:w="6932" w:type="dxa"/>
            <w:gridSpan w:val="3"/>
            <w:vAlign w:val="center"/>
          </w:tcPr>
          <w:p w14:paraId="15BEE667">
            <w:pPr>
              <w:keepNext w:val="0"/>
              <w:keepLines w:val="0"/>
              <w:pageBreakBefore w:val="0"/>
              <w:widowControl w:val="0"/>
              <w:kinsoku/>
              <w:wordWrap w:val="0"/>
              <w:topLinePunct w:val="0"/>
              <w:autoSpaceDE/>
              <w:autoSpaceDN/>
              <w:bidi w:val="0"/>
              <w:adjustRightInd w:val="0"/>
              <w:snapToGrid w:val="0"/>
              <w:ind w:left="0" w:leftChars="0" w:right="0" w:rightChars="0" w:firstLine="0" w:firstLineChars="0"/>
              <w:jc w:val="center"/>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社区</w:t>
            </w:r>
          </w:p>
        </w:tc>
      </w:tr>
      <w:tr w14:paraId="17975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3D04C84F">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地址</w:t>
            </w:r>
          </w:p>
        </w:tc>
        <w:tc>
          <w:tcPr>
            <w:tcW w:w="6932" w:type="dxa"/>
            <w:gridSpan w:val="3"/>
            <w:vAlign w:val="center"/>
          </w:tcPr>
          <w:p w14:paraId="4EAF1A48">
            <w:pPr>
              <w:keepNext w:val="0"/>
              <w:keepLines w:val="0"/>
              <w:pageBreakBefore w:val="0"/>
              <w:widowControl w:val="0"/>
              <w:kinsoku/>
              <w:wordWrap w:val="0"/>
              <w:topLinePunct w:val="0"/>
              <w:autoSpaceDE/>
              <w:autoSpaceDN/>
              <w:bidi w:val="0"/>
              <w:adjustRightInd w:val="0"/>
              <w:snapToGrid w:val="0"/>
              <w:ind w:left="0" w:leftChars="0" w:right="0" w:rightChars="0" w:firstLine="0" w:firstLineChars="0"/>
              <w:jc w:val="center"/>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北京市西城区赵登禹路140号</w:t>
            </w:r>
          </w:p>
        </w:tc>
      </w:tr>
      <w:tr w14:paraId="6536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0A635C34">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单位</w:t>
            </w:r>
            <w:r>
              <w:rPr>
                <w:rFonts w:hint="eastAsia" w:ascii="楷体_GB2312" w:hAnsi="楷体_GB2312" w:eastAsia="楷体_GB2312" w:cs="楷体_GB2312"/>
                <w:color w:val="000000"/>
                <w:sz w:val="28"/>
                <w:szCs w:val="28"/>
              </w:rPr>
              <w:t>简介</w:t>
            </w:r>
          </w:p>
        </w:tc>
        <w:tc>
          <w:tcPr>
            <w:tcW w:w="6932" w:type="dxa"/>
            <w:gridSpan w:val="3"/>
            <w:vAlign w:val="center"/>
          </w:tcPr>
          <w:p w14:paraId="7964BBB9">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val="en-US"/>
              </w:rPr>
              <w:t>西四北三条社区地处北京市西四北历史文化保护区，是北京市保存最完整，建制最规整的平房保护区。辖区内文保资源丰厚，拥有多处极具历史文化价值的四合院，使胡同成为一个带状的博览馆，传递着老北京的历史文化传承。社区党委通过 “党建引领下的社区微治理”，依托“美丽小院”创建行动，带领居民，共同参与社区治理。社区曾荣获“全国文明单位”等多项荣誉。</w:t>
            </w:r>
          </w:p>
        </w:tc>
      </w:tr>
      <w:tr w14:paraId="5EC0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592FB5BD">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联系人</w:t>
            </w:r>
          </w:p>
        </w:tc>
        <w:tc>
          <w:tcPr>
            <w:tcW w:w="3076" w:type="dxa"/>
            <w:vAlign w:val="center"/>
          </w:tcPr>
          <w:p w14:paraId="46EA9CD2">
            <w:pPr>
              <w:keepNext w:val="0"/>
              <w:keepLines w:val="0"/>
              <w:pageBreakBefore w:val="0"/>
              <w:widowControl w:val="0"/>
              <w:kinsoku/>
              <w:wordWrap w:val="0"/>
              <w:topLinePunct w:val="0"/>
              <w:autoSpaceDE/>
              <w:autoSpaceDN/>
              <w:bidi w:val="0"/>
              <w:adjustRightInd w:val="0"/>
              <w:snapToGrid w:val="0"/>
              <w:ind w:left="0" w:leftChars="0" w:right="0" w:rightChars="0" w:firstLine="0" w:firstLineChars="0"/>
              <w:jc w:val="center"/>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高瑛</w:t>
            </w:r>
          </w:p>
        </w:tc>
        <w:tc>
          <w:tcPr>
            <w:tcW w:w="1073" w:type="dxa"/>
            <w:vAlign w:val="center"/>
          </w:tcPr>
          <w:p w14:paraId="43081CFD">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职务</w:t>
            </w:r>
          </w:p>
        </w:tc>
        <w:tc>
          <w:tcPr>
            <w:tcW w:w="2783" w:type="dxa"/>
            <w:vAlign w:val="center"/>
          </w:tcPr>
          <w:p w14:paraId="6B6F39E6">
            <w:pPr>
              <w:keepNext w:val="0"/>
              <w:keepLines w:val="0"/>
              <w:pageBreakBefore w:val="0"/>
              <w:widowControl w:val="0"/>
              <w:kinsoku/>
              <w:wordWrap w:val="0"/>
              <w:topLinePunct w:val="0"/>
              <w:autoSpaceDE/>
              <w:autoSpaceDN/>
              <w:bidi w:val="0"/>
              <w:adjustRightInd w:val="0"/>
              <w:snapToGrid w:val="0"/>
              <w:ind w:left="0" w:leftChars="0" w:right="0" w:rightChars="0" w:firstLine="0" w:firstLineChars="0"/>
              <w:jc w:val="center"/>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社区团工委负责人、宣传专干</w:t>
            </w:r>
          </w:p>
        </w:tc>
      </w:tr>
      <w:tr w14:paraId="5BA2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3C47EB64">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color w:val="000000"/>
                <w:sz w:val="28"/>
                <w:szCs w:val="28"/>
                <w:lang w:val="en-US"/>
              </w:rPr>
            </w:pPr>
            <w:r>
              <w:rPr>
                <w:rFonts w:hint="eastAsia" w:ascii="楷体_GB2312" w:hAnsi="楷体_GB2312" w:eastAsia="楷体_GB2312" w:cs="楷体_GB2312"/>
                <w:color w:val="000000"/>
                <w:sz w:val="28"/>
                <w:szCs w:val="28"/>
                <w:lang w:val="en-US"/>
              </w:rPr>
              <w:t>联系方式</w:t>
            </w:r>
          </w:p>
        </w:tc>
        <w:tc>
          <w:tcPr>
            <w:tcW w:w="3076" w:type="dxa"/>
            <w:vAlign w:val="center"/>
          </w:tcPr>
          <w:p w14:paraId="4D2529FD">
            <w:pPr>
              <w:keepNext w:val="0"/>
              <w:keepLines w:val="0"/>
              <w:pageBreakBefore w:val="0"/>
              <w:widowControl w:val="0"/>
              <w:kinsoku/>
              <w:wordWrap w:val="0"/>
              <w:topLinePunct w:val="0"/>
              <w:autoSpaceDE/>
              <w:autoSpaceDN/>
              <w:bidi w:val="0"/>
              <w:adjustRightInd w:val="0"/>
              <w:snapToGrid w:val="0"/>
              <w:ind w:left="0" w:leftChars="0" w:right="0" w:rightChars="0" w:firstLine="0" w:firstLineChars="0"/>
              <w:jc w:val="center"/>
              <w:rPr>
                <w:rFonts w:hint="eastAsia" w:ascii="仿宋_GB2312" w:hAnsi="仿宋_GB2312" w:eastAsia="仿宋_GB2312" w:cs="仿宋_GB2312"/>
                <w:bCs/>
                <w:color w:val="000000"/>
                <w:spacing w:val="6"/>
                <w:szCs w:val="28"/>
                <w:lang w:val="en-US"/>
              </w:rPr>
            </w:pPr>
            <w:r>
              <w:rPr>
                <w:rFonts w:hint="eastAsia" w:ascii="Times New Roman" w:hAnsi="Times New Roman" w:eastAsia="仿宋_GB2312" w:cs="Times New Roman"/>
                <w:bCs/>
                <w:color w:val="000000"/>
                <w:spacing w:val="6"/>
                <w:szCs w:val="28"/>
                <w:lang w:val="en-US"/>
              </w:rPr>
              <w:t>13810006579</w:t>
            </w:r>
          </w:p>
        </w:tc>
        <w:tc>
          <w:tcPr>
            <w:tcW w:w="1073" w:type="dxa"/>
            <w:vAlign w:val="center"/>
          </w:tcPr>
          <w:p w14:paraId="0FCDFAA2">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微信</w:t>
            </w:r>
          </w:p>
        </w:tc>
        <w:tc>
          <w:tcPr>
            <w:tcW w:w="2783" w:type="dxa"/>
            <w:vAlign w:val="center"/>
          </w:tcPr>
          <w:p w14:paraId="43EC3699">
            <w:pPr>
              <w:keepNext w:val="0"/>
              <w:keepLines w:val="0"/>
              <w:pageBreakBefore w:val="0"/>
              <w:widowControl w:val="0"/>
              <w:kinsoku/>
              <w:wordWrap w:val="0"/>
              <w:topLinePunct w:val="0"/>
              <w:autoSpaceDE/>
              <w:autoSpaceDN/>
              <w:bidi w:val="0"/>
              <w:adjustRightInd w:val="0"/>
              <w:snapToGrid w:val="0"/>
              <w:ind w:left="0" w:leftChars="0" w:right="0" w:rightChars="0" w:firstLine="0" w:firstLineChars="0"/>
              <w:jc w:val="center"/>
              <w:rPr>
                <w:rFonts w:hint="eastAsia" w:ascii="仿宋_GB2312" w:hAnsi="仿宋_GB2312" w:eastAsia="仿宋_GB2312" w:cs="仿宋_GB2312"/>
                <w:bCs/>
                <w:color w:val="000000"/>
                <w:spacing w:val="6"/>
                <w:szCs w:val="28"/>
                <w:lang w:val="en-US"/>
              </w:rPr>
            </w:pPr>
            <w:r>
              <w:rPr>
                <w:rFonts w:hint="default" w:ascii="Times New Roman" w:hAnsi="Times New Roman" w:eastAsia="仿宋_GB2312" w:cs="Times New Roman"/>
                <w:bCs/>
                <w:color w:val="000000"/>
                <w:spacing w:val="6"/>
                <w:szCs w:val="28"/>
                <w:lang w:val="en-US"/>
              </w:rPr>
              <w:t>A18513000641</w:t>
            </w:r>
          </w:p>
        </w:tc>
      </w:tr>
    </w:tbl>
    <w:p w14:paraId="782F6E23">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57F954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CC696D5">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选题</w:t>
            </w:r>
            <w:r>
              <w:rPr>
                <w:rFonts w:hint="eastAsia" w:ascii="楷体_GB2312" w:hAnsi="楷体_GB2312" w:eastAsia="楷体_GB2312" w:cs="楷体_GB2312"/>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70E5F33">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古巷新颜・文商共生</w:t>
            </w:r>
          </w:p>
        </w:tc>
      </w:tr>
      <w:tr w14:paraId="63E763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0A146EF">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F122B44">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社会科学及文化产业领域</w:t>
            </w:r>
          </w:p>
        </w:tc>
      </w:tr>
      <w:tr w14:paraId="4B1A63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C9821FE">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color w:val="000000"/>
                <w:sz w:val="28"/>
                <w:szCs w:val="28"/>
              </w:rPr>
            </w:pPr>
            <w:bookmarkStart w:id="0" w:name="OLE_LINK4"/>
            <w:bookmarkStart w:id="1" w:name="OLE_LINK3"/>
            <w:r>
              <w:rPr>
                <w:rFonts w:hint="eastAsia" w:ascii="楷体_GB2312" w:hAnsi="楷体_GB2312" w:eastAsia="楷体_GB2312" w:cs="楷体_GB2312"/>
                <w:color w:val="000000"/>
                <w:sz w:val="28"/>
                <w:szCs w:val="28"/>
              </w:rPr>
              <w:t>题目介绍</w:t>
            </w:r>
            <w:bookmarkEnd w:id="0"/>
            <w:bookmarkEnd w:id="1"/>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88A5390">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单位项目单位地处北京历史文化保护区，辖区胡同、四合院如带状博览馆，承载并传递老北京历史文化传承。近年经申请式退租、西城区线性工程项目改造，社区逐步开展院落修复与业态优化；2025年通过打造无围墙博物馆胡同，以文化为核心深挖历史肌理与院落故事，凝聚社区共识、联结邻里，满足居民多元精神需求。但目前文化活化仅局限于部分胡同，文商融合缺乏创新，未能充分释放文化价值，也无法满足居民与业态升级诉求，形成明确刚性攻关需求。</w:t>
            </w:r>
          </w:p>
          <w:p w14:paraId="3DB4608D">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本课题聚焦古巷文商共生与文化活化，明确两大核心攻关任务：一是以“连点成线、串珠成链”思路，将文化体验延伸至整个社区，深挖院落故事，构建沉浸式文化体验体系；二是联动社区新增餐饮、轻文创等业态，探索可落地的年轻化文创发展路径。</w:t>
            </w:r>
          </w:p>
          <w:p w14:paraId="4BE8E5A0">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课题无需长期投入，契合大学生创新优势，无任何商业绑定及额外要求，成果需为原创方案，可直接应用于社区实践，助力实现古巷文化活化、业态赋能与社区治理深度融合。</w:t>
            </w:r>
          </w:p>
          <w:p w14:paraId="5D8F8D3C">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Cs/>
                <w:color w:val="000000"/>
                <w:spacing w:val="6"/>
                <w:szCs w:val="28"/>
                <w:lang w:val="en-US"/>
              </w:rPr>
            </w:pPr>
          </w:p>
        </w:tc>
      </w:tr>
      <w:tr w14:paraId="545577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C1924DF">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FE3DF3D">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1. 答题要求：需紧扣本课题核心攻关任务，针对性提出解决方案，突出创新性、可落地性，不得偏离古巷文商共生、文化活化及社区治理融合核心，禁止抄袭、照搬成熟方案，需体现大学生原创思维。</w:t>
            </w:r>
          </w:p>
          <w:p w14:paraId="55E99D6C">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2. 提报形式：提交完整方案PDF文档，可附创意示意图或视频、落地路径图谱（可选）、模型（可选）等，方案需标注参赛团队信息（团队名称、成员、指导老师等），命名格式为“古巷新颜・文商共生-参赛团队名称”。</w:t>
            </w:r>
          </w:p>
          <w:p w14:paraId="23F7F2CD">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注：所有完整方案及相关资料均需提交项目单位和组委会指定提交渠道。</w:t>
            </w:r>
          </w:p>
          <w:p w14:paraId="388C854B">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3. 提报时间：具体提报起止时间将根据组委会要求，逾期提交视为自动放弃参赛资格，不接受补充提交、逾期提交。</w:t>
            </w:r>
          </w:p>
        </w:tc>
      </w:tr>
      <w:tr w14:paraId="0FA587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1321D">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5215A439">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2048F">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优：方案紧扣课题核心需求，创新点突出，可落地性强，能有效解决文商融合、文化体验延伸痛点，贴合社区实际；逻辑清晰、内容完整，无抄袭，充分体现大学生创新能力与实践能力。</w:t>
            </w:r>
          </w:p>
          <w:p w14:paraId="38C1447A">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劣：方案偏离课题核心，缺乏创新，照搬成熟思路；不可落地、脱离社区实际；存在抄袭、内容残缺、格式不规范等问题；未响应课题刚性需求，无法解决实际问题。</w:t>
            </w:r>
          </w:p>
        </w:tc>
      </w:tr>
      <w:tr w14:paraId="0C766B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7D31D06">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6AEA551">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无</w:t>
            </w:r>
          </w:p>
        </w:tc>
      </w:tr>
    </w:tbl>
    <w:p w14:paraId="39F4EEC9">
      <w:pPr>
        <w:keepNext w:val="0"/>
        <w:keepLines w:val="0"/>
        <w:pageBreakBefore w:val="0"/>
        <w:widowControl w:val="0"/>
        <w:kinsoku/>
        <w:wordWrap w:val="0"/>
        <w:overflowPunct/>
        <w:topLinePunct w:val="0"/>
        <w:autoSpaceDE/>
        <w:autoSpaceDN/>
        <w:bidi w:val="0"/>
        <w:textAlignment w:val="auto"/>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59F500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69040FD">
            <w:pPr>
              <w:keepNext w:val="0"/>
              <w:keepLines w:val="0"/>
              <w:pageBreakBefore w:val="0"/>
              <w:widowControl w:val="0"/>
              <w:kinsoku/>
              <w:wordWrap w:val="0"/>
              <w:overflowPunct/>
              <w:topLinePunct w:val="0"/>
              <w:autoSpaceDE/>
              <w:autoSpaceDN/>
              <w:bidi w:val="0"/>
              <w:adjustRightInd w:val="0"/>
              <w:snapToGrid w:val="0"/>
              <w:spacing w:line="560" w:lineRule="exact"/>
              <w:jc w:val="center"/>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保障</w:t>
            </w:r>
            <w:r>
              <w:rPr>
                <w:rFonts w:hint="eastAsia" w:ascii="楷体_GB2312" w:hAnsi="楷体_GB2312" w:eastAsia="楷体_GB2312" w:cs="楷体_GB2312"/>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006530E">
            <w:pPr>
              <w:keepNext w:val="0"/>
              <w:keepLines w:val="0"/>
              <w:pageBreakBefore w:val="0"/>
              <w:widowControl w:val="0"/>
              <w:kinsoku/>
              <w:wordWrap w:val="0"/>
              <w:overflowPunct/>
              <w:topLinePunct w:val="0"/>
              <w:autoSpaceDE/>
              <w:autoSpaceDN/>
              <w:bidi w:val="0"/>
              <w:adjustRightInd w:val="0"/>
              <w:snapToGrid w:val="0"/>
              <w:ind w:firstLine="504" w:firstLineChars="200"/>
              <w:textAlignment w:val="auto"/>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可为参赛团队提供参观指导、实践调研、提供可供参考的以往相关研究资料材料等，配备专门指导人员、邀请行业专家进行讲座等。落实时间根据项目进度。</w:t>
            </w:r>
          </w:p>
        </w:tc>
      </w:tr>
      <w:tr w14:paraId="058DFC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592EE35">
            <w:pPr>
              <w:keepNext w:val="0"/>
              <w:keepLines w:val="0"/>
              <w:pageBreakBefore w:val="0"/>
              <w:widowControl w:val="0"/>
              <w:kinsoku/>
              <w:wordWrap w:val="0"/>
              <w:overflowPunct/>
              <w:topLinePunct w:val="0"/>
              <w:autoSpaceDE/>
              <w:autoSpaceDN/>
              <w:bidi w:val="0"/>
              <w:adjustRightInd w:val="0"/>
              <w:snapToGrid w:val="0"/>
              <w:spacing w:line="560" w:lineRule="exact"/>
              <w:jc w:val="center"/>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CBB43DD">
            <w:pPr>
              <w:keepNext w:val="0"/>
              <w:keepLines w:val="0"/>
              <w:pageBreakBefore w:val="0"/>
              <w:widowControl w:val="0"/>
              <w:kinsoku/>
              <w:wordWrap w:val="0"/>
              <w:overflowPunct/>
              <w:topLinePunct w:val="0"/>
              <w:autoSpaceDE/>
              <w:autoSpaceDN/>
              <w:bidi w:val="0"/>
              <w:adjustRightInd w:val="0"/>
              <w:snapToGrid w:val="0"/>
              <w:ind w:firstLine="504" w:firstLineChars="200"/>
              <w:textAlignment w:val="auto"/>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一、奖项设置</w:t>
            </w:r>
          </w:p>
          <w:p w14:paraId="43AF2DD5">
            <w:pPr>
              <w:keepNext w:val="0"/>
              <w:keepLines w:val="0"/>
              <w:pageBreakBefore w:val="0"/>
              <w:widowControl w:val="0"/>
              <w:kinsoku/>
              <w:wordWrap w:val="0"/>
              <w:overflowPunct/>
              <w:topLinePunct w:val="0"/>
              <w:autoSpaceDE/>
              <w:autoSpaceDN/>
              <w:bidi w:val="0"/>
              <w:adjustRightInd w:val="0"/>
              <w:snapToGrid w:val="0"/>
              <w:ind w:firstLine="504" w:firstLineChars="200"/>
              <w:textAlignment w:val="auto"/>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原则上设“擂主”团队1个，根据实际情况评出相应的特等奖、一等奖、二等奖、三等奖项目若干。</w:t>
            </w:r>
          </w:p>
          <w:p w14:paraId="51940C74">
            <w:pPr>
              <w:keepNext w:val="0"/>
              <w:keepLines w:val="0"/>
              <w:pageBreakBefore w:val="0"/>
              <w:widowControl w:val="0"/>
              <w:kinsoku/>
              <w:wordWrap w:val="0"/>
              <w:overflowPunct/>
              <w:topLinePunct w:val="0"/>
              <w:autoSpaceDE/>
              <w:autoSpaceDN/>
              <w:bidi w:val="0"/>
              <w:adjustRightInd w:val="0"/>
              <w:snapToGrid w:val="0"/>
              <w:ind w:firstLine="504" w:firstLineChars="200"/>
              <w:textAlignment w:val="auto"/>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二、激励措施</w:t>
            </w:r>
          </w:p>
          <w:p w14:paraId="65F47729">
            <w:pPr>
              <w:keepNext w:val="0"/>
              <w:keepLines w:val="0"/>
              <w:pageBreakBefore w:val="0"/>
              <w:widowControl w:val="0"/>
              <w:kinsoku/>
              <w:wordWrap w:val="0"/>
              <w:overflowPunct/>
              <w:topLinePunct w:val="0"/>
              <w:autoSpaceDE/>
              <w:autoSpaceDN/>
              <w:bidi w:val="0"/>
              <w:adjustRightInd w:val="0"/>
              <w:snapToGrid w:val="0"/>
              <w:ind w:firstLine="504" w:firstLineChars="200"/>
              <w:textAlignment w:val="auto"/>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将在获得特等奖的团队中选择一个作为“擂主”团队，作为后期实践的重点合作团队。针对获奖作品以及所有作品中具有参考价值的作品，出题方将出具书面感谢函，感谢其为基层实践做出的贡献。同时出题方将提炼具有实用价值的作品向街道实施申报项目落地及经费。并与作品团队进行进一步合作，并提供相应经费支持。</w:t>
            </w:r>
          </w:p>
        </w:tc>
      </w:tr>
    </w:tbl>
    <w:p w14:paraId="2B3F65BE">
      <w:pPr>
        <w:rPr>
          <w:rFonts w:eastAsia="方正黑体简体"/>
          <w:sz w:val="32"/>
          <w:szCs w:val="32"/>
          <w:lang w:val="en-US"/>
        </w:rPr>
      </w:pPr>
      <w:r>
        <w:rPr>
          <w:rFonts w:hint="eastAsia" w:eastAsia="方正黑体简体"/>
          <w:sz w:val="32"/>
          <w:szCs w:val="32"/>
          <w:lang w:val="en-US"/>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7A8F11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411"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B7E84FC">
            <w:pPr>
              <w:jc w:val="center"/>
              <w:rPr>
                <w:rFonts w:eastAsia="楷体_GB2312"/>
                <w:sz w:val="28"/>
                <w:szCs w:val="28"/>
              </w:rPr>
            </w:pPr>
            <w:r>
              <w:rPr>
                <w:rFonts w:hint="eastAsia" w:eastAsia="楷体_GB2312"/>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B7E3A">
            <w:pPr>
              <w:adjustRightInd/>
              <w:snapToGrid/>
              <w:jc w:val="left"/>
              <w:rPr>
                <w:rFonts w:eastAsia="仿宋_GB2312"/>
                <w:lang w:val="en-US"/>
              </w:rPr>
            </w:pPr>
            <w:r>
              <w:rPr>
                <w:rFonts w:eastAsia="仿宋_GB2312"/>
                <w:lang w:val="en-US"/>
              </w:rPr>
              <w:t>本项目虽不涉及新一代信息技术、人工智能等技术类“卡脖子”核心技术及科技前沿难题，但其聚焦社会科学领域中历史文化保护区活化、文商融合与社区治理协同的重大现实问题，具有显著的实践推动价值。当前，国内众多历史文化古巷普遍面临文化活化不充分、文商融合模式单一、社区治理与文化传承脱节的瓶颈，本课题通过探索“文化+业态+治理”的创新路径，可有效破解这一制约古巷可持续发展的现实难题。同时，课题成果能为同类历史文化保护区的文化挖掘、业态升级与社区治理提供可复制、可落地的实践参考，推动社会科学领域中城市更新与文化传承相关研究的落地转化，助力破解古巷保护与民生发展、文化传承与商业赋能之间的平衡难题，进一步丰富历史文化保护区活化利用的实践路径与理论体系。</w:t>
            </w:r>
          </w:p>
        </w:tc>
      </w:tr>
      <w:tr w14:paraId="4009BD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60"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22D17">
            <w:pPr>
              <w:jc w:val="center"/>
              <w:rPr>
                <w:rFonts w:eastAsia="楷体_GB2312"/>
                <w:sz w:val="28"/>
                <w:szCs w:val="28"/>
              </w:rPr>
            </w:pPr>
            <w:r>
              <w:rPr>
                <w:rFonts w:hint="eastAsia" w:eastAsia="楷体_GB2312"/>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08A62">
            <w:pPr>
              <w:adjustRightInd/>
              <w:snapToGrid/>
              <w:jc w:val="left"/>
              <w:rPr>
                <w:rFonts w:eastAsia="仿宋_GB2312"/>
                <w:lang w:val="en-US"/>
              </w:rPr>
            </w:pPr>
            <w:r>
              <w:rPr>
                <w:rFonts w:eastAsia="仿宋_GB2312"/>
                <w:lang w:val="en-US"/>
              </w:rPr>
              <w:t>本课题攻关取得的预期成果，将产生显著且务实的经济与社会效益，助力相关领域发展及国家经济社会高质量推进。经济效益方面，通过构建沉浸式文化体验体系、探索年轻化文创发展路径，可有效赋能社区现有餐饮、轻文创等民生业态，激活古巷商业活力，带动业态增收，同时培育古巷特色文化IP，吸引文旅消费，间接带动区域消费增长；此外，文创产品开发、文化体验落地等相关方案，可创造轻量化就业岗位，助力社区及周边民生改善，为文旅、文创产业注入年轻化创新活力，丰富产业发展模式，提升细分领域竞争力。</w:t>
            </w:r>
          </w:p>
          <w:p w14:paraId="58E2BF98">
            <w:pPr>
              <w:adjustRightInd/>
              <w:snapToGrid/>
              <w:jc w:val="left"/>
              <w:rPr>
                <w:rFonts w:eastAsia="仿宋_GB2312"/>
                <w:lang w:val="en-US"/>
              </w:rPr>
            </w:pPr>
            <w:r>
              <w:rPr>
                <w:rFonts w:eastAsia="仿宋_GB2312"/>
                <w:lang w:val="en-US"/>
              </w:rPr>
              <w:t>社会效益方面，核心在于推动老北京历史文化传承与活化，通过深挖古巷历史底蕴、打造文化体验场景，让传统胡同文化可触可感，助力文化自信培育；同时，成果落地可进一步完善社区治理，凝聚邻里情感，提升居民文化认同感与生活幸福感，助力和谐社区建设。此外，课题形成的可复制、可落地的古巷文商共生方案，可为国内同类历史文化保护区提供实践参考，助力城市更新与文化保护协同发展，践行文化强国理念，为国家经济社会高质量发展注入文化与民生赋能的内生动力。</w:t>
            </w:r>
          </w:p>
        </w:tc>
      </w:tr>
    </w:tbl>
    <w:p w14:paraId="466A7222">
      <w:pPr>
        <w:keepNext w:val="0"/>
        <w:keepLines w:val="0"/>
        <w:pageBreakBefore w:val="0"/>
        <w:widowControl w:val="0"/>
        <w:kinsoku/>
        <w:overflowPunct/>
        <w:topLinePunct w:val="0"/>
        <w:autoSpaceDE/>
        <w:autoSpaceDN/>
        <w:bidi w:val="0"/>
        <w:textAlignment w:val="auto"/>
        <w:rPr>
          <w:rFonts w:hint="eastAsia" w:ascii="仿宋_GB2312" w:eastAsia="仿宋_GB2312"/>
          <w:bCs/>
          <w:color w:val="auto"/>
          <w:sz w:val="32"/>
          <w:szCs w:val="32"/>
          <w:lang w:val="en-US"/>
        </w:rPr>
      </w:pPr>
      <w:r>
        <w:rPr>
          <w:rFonts w:hint="eastAsia" w:ascii="仿宋_GB2312" w:eastAsia="仿宋_GB2312"/>
          <w:bCs/>
          <w:color w:val="auto"/>
          <w:sz w:val="32"/>
          <w:szCs w:val="32"/>
          <w:lang w:val="en-US"/>
        </w:rPr>
        <w:br w:type="page"/>
      </w:r>
    </w:p>
    <w:p w14:paraId="57B3849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7E09A66E">
      <w:pPr>
        <w:widowControl w:val="0"/>
        <w:tabs>
          <w:tab w:val="left" w:pos="8640"/>
        </w:tabs>
        <w:adjustRightInd w:val="0"/>
        <w:snapToGrid w:val="0"/>
        <w:spacing w:line="560" w:lineRule="exact"/>
        <w:jc w:val="center"/>
        <w:rPr>
          <w:rFonts w:hint="eastAsia"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—06</w:t>
      </w:r>
    </w:p>
    <w:p w14:paraId="6A58E432">
      <w:pPr>
        <w:keepNext w:val="0"/>
        <w:keepLines w:val="0"/>
        <w:pageBreakBefore w:val="0"/>
        <w:widowControl w:val="0"/>
        <w:tabs>
          <w:tab w:val="left" w:pos="8640"/>
        </w:tabs>
        <w:kinsoku/>
        <w:wordWrap w:val="0"/>
        <w:overflowPunct/>
        <w:topLinePunct w:val="0"/>
        <w:autoSpaceDE/>
        <w:autoSpaceDN/>
        <w:bidi w:val="0"/>
        <w:adjustRightInd w:val="0"/>
        <w:snapToGrid w:val="0"/>
        <w:spacing w:line="240" w:lineRule="auto"/>
        <w:textAlignment w:val="auto"/>
        <w:rPr>
          <w:rFonts w:ascii="方正黑体简体" w:eastAsia="方正黑体简体"/>
          <w:bCs/>
          <w:color w:val="auto"/>
          <w:spacing w:val="6"/>
          <w:sz w:val="21"/>
          <w:szCs w:val="21"/>
        </w:rPr>
      </w:pPr>
    </w:p>
    <w:p w14:paraId="549139FF">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1F37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C1AD45D">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59D3E17D">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bookmarkStart w:id="2" w:name="OLE_LINK1"/>
            <w:r>
              <w:rPr>
                <w:rFonts w:hint="eastAsia" w:ascii="仿宋_GB2312" w:hAnsi="仿宋_GB2312" w:eastAsia="仿宋_GB2312" w:cs="仿宋_GB2312"/>
                <w:bCs/>
                <w:color w:val="auto"/>
                <w:spacing w:val="6"/>
                <w:szCs w:val="28"/>
                <w:lang w:val="en-US" w:eastAsia="zh-CN"/>
              </w:rPr>
              <w:t>北京市西城区卫生健康党群指导中心</w:t>
            </w:r>
          </w:p>
          <w:p w14:paraId="6611399F">
            <w:pPr>
              <w:keepNext w:val="0"/>
              <w:keepLines w:val="0"/>
              <w:pageBreakBefore w:val="0"/>
              <w:widowControl w:val="0"/>
              <w:kinsoku/>
              <w:wordWrap w:val="0"/>
              <w:topLinePunct w:val="0"/>
              <w:autoSpaceDE/>
              <w:autoSpaceDN/>
              <w:bidi w:val="0"/>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（北京市西城区卫生健康人才服务中心）</w:t>
            </w:r>
            <w:bookmarkEnd w:id="2"/>
          </w:p>
        </w:tc>
      </w:tr>
      <w:tr w14:paraId="34B0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01E345C3">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7FE4E60A">
            <w:pPr>
              <w:keepNext w:val="0"/>
              <w:keepLines w:val="0"/>
              <w:pageBreakBefore w:val="0"/>
              <w:widowControl w:val="0"/>
              <w:kinsoku/>
              <w:wordWrap w:val="0"/>
              <w:topLinePunct w:val="0"/>
              <w:autoSpaceDE/>
              <w:autoSpaceDN/>
              <w:bidi w:val="0"/>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事业单位</w:t>
            </w:r>
          </w:p>
        </w:tc>
      </w:tr>
      <w:tr w14:paraId="0B929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1858199D">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49878E2D">
            <w:pPr>
              <w:keepNext w:val="0"/>
              <w:keepLines w:val="0"/>
              <w:pageBreakBefore w:val="0"/>
              <w:widowControl w:val="0"/>
              <w:kinsoku/>
              <w:wordWrap w:val="0"/>
              <w:topLinePunct w:val="0"/>
              <w:autoSpaceDE/>
              <w:autoSpaceDN/>
              <w:bidi w:val="0"/>
              <w:adjustRightInd w:val="0"/>
              <w:jc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北京市西城区枣林前街二号院</w:t>
            </w:r>
          </w:p>
        </w:tc>
      </w:tr>
      <w:tr w14:paraId="04B7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5C15E069">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3B4A915D">
            <w:pPr>
              <w:keepNext w:val="0"/>
              <w:keepLines w:val="0"/>
              <w:pageBreakBefore w:val="0"/>
              <w:widowControl w:val="0"/>
              <w:kinsoku/>
              <w:wordWrap w:val="0"/>
              <w:topLinePunct w:val="0"/>
              <w:autoSpaceDE/>
              <w:autoSpaceDN/>
              <w:bidi w:val="0"/>
              <w:adjustRightInd w:val="0"/>
              <w:snapToGrid w:val="0"/>
              <w:jc w:val="both"/>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北京市西城区卫生健康党群指导中心成立于2025年6月，为区委卫生健康工委、区卫生健康委所属事业单位。主要负责党建、宣传、统战、群团等工作。</w:t>
            </w:r>
          </w:p>
        </w:tc>
      </w:tr>
      <w:tr w14:paraId="75A8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3D52EBCC">
            <w:pPr>
              <w:keepNext w:val="0"/>
              <w:keepLines w:val="0"/>
              <w:pageBreakBefore w:val="0"/>
              <w:widowControl w:val="0"/>
              <w:kinsoku/>
              <w:wordWrap w:val="0"/>
              <w:topLinePunct w:val="0"/>
              <w:autoSpaceDE/>
              <w:autoSpaceDN/>
              <w:bidi w:val="0"/>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5A9B6425">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周圣羽</w:t>
            </w:r>
          </w:p>
        </w:tc>
        <w:tc>
          <w:tcPr>
            <w:tcW w:w="1073" w:type="dxa"/>
            <w:vAlign w:val="center"/>
          </w:tcPr>
          <w:p w14:paraId="0C888B0D">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031855DD">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lang w:val="en-US" w:eastAsia="zh-CN"/>
              </w:rPr>
            </w:pPr>
            <w:r>
              <w:rPr>
                <w:rFonts w:hint="eastAsia" w:ascii="仿宋_GB2312" w:hAnsi="仿宋_GB2312" w:eastAsia="仿宋_GB2312" w:cs="仿宋_GB2312"/>
                <w:bCs/>
                <w:color w:val="auto"/>
                <w:spacing w:val="6"/>
                <w:szCs w:val="28"/>
                <w:lang w:val="en-US" w:eastAsia="zh-CN"/>
              </w:rPr>
              <w:t>干部</w:t>
            </w:r>
          </w:p>
        </w:tc>
      </w:tr>
      <w:tr w14:paraId="23C6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109472AF">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1A784246">
            <w:pPr>
              <w:keepNext w:val="0"/>
              <w:keepLines w:val="0"/>
              <w:pageBreakBefore w:val="0"/>
              <w:widowControl w:val="0"/>
              <w:kinsoku/>
              <w:wordWrap w:val="0"/>
              <w:topLinePunct w:val="0"/>
              <w:autoSpaceDE/>
              <w:autoSpaceDN/>
              <w:bidi w:val="0"/>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eastAsia="方正仿宋简体" w:cs="Times New Roman"/>
                <w:color w:val="auto"/>
                <w:lang w:val="en-US" w:eastAsia="zh-CN"/>
              </w:rPr>
              <w:t>13810657087</w:t>
            </w:r>
          </w:p>
        </w:tc>
        <w:tc>
          <w:tcPr>
            <w:tcW w:w="1073" w:type="dxa"/>
            <w:vAlign w:val="center"/>
          </w:tcPr>
          <w:p w14:paraId="0A5C87BD">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69B3690F">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lang w:val="en-US" w:eastAsia="zh-CN"/>
              </w:rPr>
            </w:pPr>
            <w:r>
              <w:rPr>
                <w:rFonts w:hint="eastAsia" w:eastAsia="方正仿宋简体" w:cs="Times New Roman"/>
                <w:color w:val="auto"/>
                <w:lang w:val="en-US" w:eastAsia="zh-CN"/>
              </w:rPr>
              <w:t>flyinbloom</w:t>
            </w:r>
          </w:p>
        </w:tc>
      </w:tr>
    </w:tbl>
    <w:p w14:paraId="48577CE6">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eastAsia="方正黑体简体"/>
          <w:bCs/>
          <w:color w:val="auto"/>
          <w:spacing w:val="6"/>
          <w:sz w:val="32"/>
          <w:szCs w:val="32"/>
          <w:lang w:eastAsia="zh-CN"/>
        </w:rPr>
        <w:t>二</w:t>
      </w:r>
      <w:r>
        <w:rPr>
          <w:rFonts w:hint="eastAsia" w:ascii="方正黑体简体" w:hAnsi="Times New Roman" w:eastAsia="方正黑体简体" w:cs="Times New Roman"/>
          <w:bCs/>
          <w:color w:val="auto"/>
          <w:spacing w:val="6"/>
          <w:sz w:val="32"/>
          <w:szCs w:val="32"/>
        </w:rPr>
        <w:t>、选题说明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300D37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222C5D1">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1852F64">
            <w:pPr>
              <w:keepNext w:val="0"/>
              <w:keepLines w:val="0"/>
              <w:pageBreakBefore w:val="0"/>
              <w:widowControl w:val="0"/>
              <w:suppressLineNumbers w:val="0"/>
              <w:kinsoku/>
              <w:wordWrap w:val="0"/>
              <w:topLinePunct w:val="0"/>
              <w:autoSpaceDE/>
              <w:autoSpaceDN/>
              <w:bidi w:val="0"/>
              <w:jc w:val="center"/>
              <w:rPr>
                <w:rFonts w:hint="default"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医卫知识传万家，健康守护伴我行</w:t>
            </w:r>
          </w:p>
        </w:tc>
      </w:tr>
      <w:tr w14:paraId="4F3885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351"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24D7F30">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E0553B1">
            <w:pPr>
              <w:keepNext w:val="0"/>
              <w:keepLines w:val="0"/>
              <w:pageBreakBefore w:val="0"/>
              <w:widowControl w:val="0"/>
              <w:kinsoku/>
              <w:wordWrap w:val="0"/>
              <w:topLinePunct w:val="0"/>
              <w:autoSpaceDE/>
              <w:autoSpaceDN/>
              <w:bidi w:val="0"/>
              <w:adjustRightInd w:val="0"/>
              <w:snapToGrid w:val="0"/>
              <w:ind w:firstLine="480" w:firstLineChars="200"/>
              <w:jc w:val="center"/>
              <w:rPr>
                <w:rFonts w:hint="default"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医疗卫生</w:t>
            </w:r>
          </w:p>
        </w:tc>
      </w:tr>
      <w:tr w14:paraId="54E90F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352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A4D7E5E">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5AC4D69">
            <w:pPr>
              <w:keepNext w:val="0"/>
              <w:keepLines w:val="0"/>
              <w:pageBreakBefore w:val="0"/>
              <w:widowControl w:val="0"/>
              <w:kinsoku/>
              <w:wordWrap w:val="0"/>
              <w:topLinePunct w:val="0"/>
              <w:autoSpaceDE/>
              <w:autoSpaceDN/>
              <w:bidi w:val="0"/>
              <w:adjustRightInd w:val="0"/>
              <w:jc w:val="left"/>
              <w:rPr>
                <w:rFonts w:hint="eastAsia" w:ascii="仿宋_GB2312" w:hAnsi="仿宋_GB2312" w:eastAsia="仿宋_GB2312" w:cs="仿宋_GB2312"/>
                <w:bCs/>
                <w:color w:val="auto"/>
                <w:spacing w:val="6"/>
                <w:szCs w:val="28"/>
                <w:lang w:val="en-US" w:eastAsia="zh-CN"/>
              </w:rPr>
            </w:pPr>
            <w:r>
              <w:rPr>
                <w:rFonts w:hint="eastAsia" w:ascii="仿宋" w:hAnsi="仿宋" w:eastAsia="仿宋" w:cs="仿宋"/>
                <w:b/>
                <w:bCs/>
                <w:lang w:val="en-US" w:eastAsia="zh-CN"/>
              </w:rPr>
              <w:t>背景：</w:t>
            </w:r>
            <w:r>
              <w:rPr>
                <w:rFonts w:hint="eastAsia" w:ascii="仿宋_GB2312" w:hAnsi="仿宋_GB2312" w:eastAsia="仿宋_GB2312" w:cs="仿宋_GB2312"/>
                <w:bCs/>
                <w:color w:val="auto"/>
                <w:spacing w:val="6"/>
                <w:szCs w:val="28"/>
                <w:lang w:val="en-US" w:eastAsia="zh-CN"/>
              </w:rPr>
              <w:t>当下全民健康需求升级，“健康中国2030”战略推进，需普及健康知识；同时网络虚假健康信息泛滥，传统宣传形式单一，亟需创新宣传载体，推动健康理念大众化传播。</w:t>
            </w:r>
          </w:p>
          <w:p w14:paraId="591A1AA5">
            <w:pPr>
              <w:keepNext w:val="0"/>
              <w:keepLines w:val="0"/>
              <w:pageBreakBefore w:val="0"/>
              <w:widowControl w:val="0"/>
              <w:kinsoku/>
              <w:wordWrap w:val="0"/>
              <w:topLinePunct w:val="0"/>
              <w:autoSpaceDE/>
              <w:autoSpaceDN/>
              <w:bidi w:val="0"/>
              <w:adjustRightInd w:val="0"/>
              <w:jc w:val="left"/>
              <w:rPr>
                <w:rFonts w:hint="eastAsia" w:ascii="仿宋_GB2312" w:hAnsi="仿宋_GB2312" w:eastAsia="仿宋_GB2312" w:cs="仿宋_GB2312"/>
                <w:bCs/>
                <w:color w:val="auto"/>
                <w:spacing w:val="6"/>
                <w:szCs w:val="28"/>
                <w:lang w:val="en-US" w:eastAsia="zh-CN"/>
              </w:rPr>
            </w:pPr>
          </w:p>
          <w:p w14:paraId="355D99FF">
            <w:pPr>
              <w:keepNext w:val="0"/>
              <w:keepLines w:val="0"/>
              <w:pageBreakBefore w:val="0"/>
              <w:widowControl w:val="0"/>
              <w:kinsoku/>
              <w:wordWrap w:val="0"/>
              <w:topLinePunct w:val="0"/>
              <w:autoSpaceDE/>
              <w:autoSpaceDN/>
              <w:bidi w:val="0"/>
              <w:adjustRightInd w:val="0"/>
              <w:jc w:val="left"/>
              <w:rPr>
                <w:rFonts w:hint="eastAsia" w:ascii="仿宋_GB2312" w:hAnsi="仿宋_GB2312" w:eastAsia="仿宋_GB2312" w:cs="仿宋_GB2312"/>
                <w:bCs/>
                <w:color w:val="auto"/>
                <w:spacing w:val="6"/>
                <w:szCs w:val="28"/>
                <w:lang w:val="en-US" w:eastAsia="zh-CN"/>
              </w:rPr>
            </w:pPr>
            <w:r>
              <w:rPr>
                <w:rFonts w:hint="eastAsia" w:ascii="仿宋" w:hAnsi="仿宋" w:eastAsia="仿宋" w:cs="仿宋"/>
                <w:b/>
                <w:bCs/>
                <w:lang w:val="en-US" w:eastAsia="zh-CN"/>
              </w:rPr>
              <w:t>意义：</w:t>
            </w:r>
            <w:r>
              <w:rPr>
                <w:rFonts w:hint="eastAsia" w:ascii="仿宋_GB2312" w:hAnsi="仿宋_GB2312" w:eastAsia="仿宋_GB2312" w:cs="仿宋_GB2312"/>
                <w:bCs/>
                <w:color w:val="auto"/>
                <w:spacing w:val="6"/>
                <w:szCs w:val="28"/>
                <w:lang w:val="en-US" w:eastAsia="zh-CN"/>
              </w:rPr>
              <w:t>打造权威易懂的宣传内容，破解信息碎片化痛点，满足公众对科学健康知识、健康生活方式的需求；同时助力卫健系统履行宣教职责，提升健康宣传触达率。参与者也可从中学习相关医疗知识，成为健康知识的传播者。</w:t>
            </w:r>
          </w:p>
          <w:p w14:paraId="44BDC42E">
            <w:pPr>
              <w:keepNext w:val="0"/>
              <w:keepLines w:val="0"/>
              <w:pageBreakBefore w:val="0"/>
              <w:widowControl w:val="0"/>
              <w:kinsoku/>
              <w:wordWrap w:val="0"/>
              <w:topLinePunct w:val="0"/>
              <w:autoSpaceDE/>
              <w:autoSpaceDN/>
              <w:bidi w:val="0"/>
              <w:adjustRightInd w:val="0"/>
              <w:jc w:val="left"/>
              <w:rPr>
                <w:rFonts w:hint="default" w:ascii="仿宋_GB2312" w:hAnsi="仿宋_GB2312" w:eastAsia="仿宋_GB2312" w:cs="仿宋_GB2312"/>
                <w:bCs/>
                <w:color w:val="auto"/>
                <w:spacing w:val="6"/>
                <w:szCs w:val="28"/>
                <w:lang w:val="en-US" w:eastAsia="zh-CN"/>
              </w:rPr>
            </w:pPr>
          </w:p>
          <w:p w14:paraId="7B693A57">
            <w:pPr>
              <w:keepNext w:val="0"/>
              <w:keepLines w:val="0"/>
              <w:pageBreakBefore w:val="0"/>
              <w:widowControl w:val="0"/>
              <w:kinsoku/>
              <w:wordWrap w:val="0"/>
              <w:topLinePunct w:val="0"/>
              <w:autoSpaceDE/>
              <w:autoSpaceDN/>
              <w:bidi w:val="0"/>
              <w:adjustRightInd w:val="0"/>
              <w:snapToGrid w:val="0"/>
              <w:jc w:val="both"/>
              <w:rPr>
                <w:rFonts w:hint="eastAsia" w:ascii="仿宋_GB2312" w:hAnsi="仿宋_GB2312" w:eastAsia="仿宋_GB2312" w:cs="仿宋_GB2312"/>
                <w:b w:val="0"/>
                <w:bCs/>
                <w:color w:val="000000"/>
                <w:spacing w:val="6"/>
                <w:szCs w:val="28"/>
                <w:lang w:val="en-US" w:eastAsia="zh-CN"/>
              </w:rPr>
            </w:pPr>
            <w:r>
              <w:rPr>
                <w:rFonts w:hint="eastAsia" w:ascii="仿宋" w:hAnsi="仿宋" w:eastAsia="仿宋" w:cs="仿宋"/>
                <w:b/>
                <w:bCs/>
                <w:lang w:val="en-US" w:eastAsia="zh-CN"/>
              </w:rPr>
              <w:t>应用：</w:t>
            </w:r>
            <w:r>
              <w:rPr>
                <w:rFonts w:hint="eastAsia" w:ascii="仿宋_GB2312" w:hAnsi="仿宋_GB2312" w:eastAsia="仿宋_GB2312" w:cs="仿宋_GB2312"/>
                <w:bCs/>
                <w:color w:val="auto"/>
                <w:spacing w:val="6"/>
                <w:szCs w:val="28"/>
                <w:lang w:val="en-US" w:eastAsia="zh-CN"/>
              </w:rPr>
              <w:t>通过线上投放短视频平台、政务新媒体，扩大传播范围；线下在医院、社区、学校等场所播放，精准触达目标人群；还可作为基层卫健培训、公益宣传活动素材，助力全民健康素养提升。</w:t>
            </w:r>
          </w:p>
        </w:tc>
      </w:tr>
      <w:tr w14:paraId="4F737A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348C3BF">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21588D2">
            <w:pPr>
              <w:keepNext w:val="0"/>
              <w:keepLines w:val="0"/>
              <w:pageBreakBefore w:val="0"/>
              <w:widowControl w:val="0"/>
              <w:numPr>
                <w:ilvl w:val="0"/>
                <w:numId w:val="0"/>
              </w:numPr>
              <w:kinsoku/>
              <w:wordWrap w:val="0"/>
              <w:topLinePunct w:val="0"/>
              <w:autoSpaceDE/>
              <w:autoSpaceDN/>
              <w:bidi w:val="0"/>
              <w:adjustRightInd w:val="0"/>
              <w:snapToGrid w:val="0"/>
              <w:jc w:val="left"/>
              <w:rPr>
                <w:rFonts w:hint="default"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主题明确，时长适宜，采用通俗易懂的语言讲述医疗专业知识。</w:t>
            </w:r>
          </w:p>
        </w:tc>
      </w:tr>
      <w:tr w14:paraId="087D35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8C661">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48B0333E">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0A7EE">
            <w:pPr>
              <w:keepNext w:val="0"/>
              <w:keepLines w:val="0"/>
              <w:pageBreakBefore w:val="0"/>
              <w:widowControl w:val="0"/>
              <w:numPr>
                <w:ilvl w:val="0"/>
                <w:numId w:val="1"/>
              </w:numPr>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选题（30分）：紧扣医疗健康主题，内容包括但不限于急诊急救、康复知识、日常护理、合理用药、中医药文化等医疗相关知识。</w:t>
            </w:r>
          </w:p>
          <w:p w14:paraId="311A286C">
            <w:pPr>
              <w:keepNext w:val="0"/>
              <w:keepLines w:val="0"/>
              <w:pageBreakBefore w:val="0"/>
              <w:widowControl w:val="0"/>
              <w:numPr>
                <w:ilvl w:val="0"/>
                <w:numId w:val="1"/>
              </w:numPr>
              <w:kinsoku/>
              <w:wordWrap w:val="0"/>
              <w:topLinePunct w:val="0"/>
              <w:autoSpaceDE/>
              <w:autoSpaceDN/>
              <w:bidi w:val="0"/>
              <w:adjustRightInd w:val="0"/>
              <w:snapToGrid w:val="0"/>
              <w:ind w:left="0" w:leftChars="0"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质量（30分）：采用1920×1080（无损高清格式）的MP4格式，画面构图完整清晰、镜头有设计感、拍摄手法丰富，要有字幕。如涉及患者须保护个人隐私。</w:t>
            </w:r>
          </w:p>
          <w:p w14:paraId="36099FCF">
            <w:pPr>
              <w:keepNext w:val="0"/>
              <w:keepLines w:val="0"/>
              <w:pageBreakBefore w:val="0"/>
              <w:widowControl w:val="0"/>
              <w:numPr>
                <w:ilvl w:val="0"/>
                <w:numId w:val="1"/>
              </w:numPr>
              <w:kinsoku/>
              <w:wordWrap w:val="0"/>
              <w:topLinePunct w:val="0"/>
              <w:autoSpaceDE/>
              <w:autoSpaceDN/>
              <w:bidi w:val="0"/>
              <w:adjustRightInd w:val="0"/>
              <w:snapToGrid w:val="0"/>
              <w:ind w:left="0" w:leftChars="0"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结构（20分）：结构明确、逻辑清晰，可加入一定故事情节。</w:t>
            </w:r>
          </w:p>
          <w:p w14:paraId="119994A1">
            <w:pPr>
              <w:keepNext w:val="0"/>
              <w:keepLines w:val="0"/>
              <w:pageBreakBefore w:val="0"/>
              <w:widowControl w:val="0"/>
              <w:numPr>
                <w:ilvl w:val="0"/>
                <w:numId w:val="1"/>
              </w:numPr>
              <w:kinsoku/>
              <w:wordWrap w:val="0"/>
              <w:topLinePunct w:val="0"/>
              <w:autoSpaceDE/>
              <w:autoSpaceDN/>
              <w:bidi w:val="0"/>
              <w:adjustRightInd w:val="0"/>
              <w:snapToGrid w:val="0"/>
              <w:ind w:left="0" w:leftChars="0" w:firstLine="504" w:firstLineChars="200"/>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时长（10分）：3-5分钟。</w:t>
            </w:r>
          </w:p>
          <w:p w14:paraId="799F1762">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lang w:val="en-US" w:eastAsia="zh-CN"/>
              </w:rPr>
              <w:t>亮点（10分）：采用诗歌、舞蹈、健身操等便于理解和记忆的方式讲述专业知识。</w:t>
            </w:r>
          </w:p>
        </w:tc>
      </w:tr>
      <w:tr w14:paraId="197977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AFB1E68">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B3F864F">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无</w:t>
            </w:r>
          </w:p>
        </w:tc>
      </w:tr>
    </w:tbl>
    <w:p w14:paraId="51AF9ABC">
      <w:pPr>
        <w:keepNext w:val="0"/>
        <w:keepLines w:val="0"/>
        <w:pageBreakBefore w:val="0"/>
        <w:widowControl w:val="0"/>
        <w:kinsoku/>
        <w:wordWrap w:val="0"/>
        <w:topLinePunct w:val="0"/>
        <w:autoSpaceDE/>
        <w:autoSpaceDN/>
        <w:bidi w:val="0"/>
        <w:rPr>
          <w:rFonts w:hint="eastAsia" w:ascii="方正黑体简体" w:eastAsia="方正黑体简体"/>
          <w:bCs/>
          <w:color w:val="auto"/>
          <w:spacing w:val="6"/>
          <w:sz w:val="32"/>
          <w:szCs w:val="32"/>
        </w:rPr>
      </w:pPr>
      <w:r>
        <w:rPr>
          <w:rFonts w:hint="eastAsia" w:ascii="方正黑体简体" w:eastAsia="方正黑体简体"/>
          <w:bCs/>
          <w:color w:val="auto"/>
          <w:spacing w:val="6"/>
          <w:sz w:val="32"/>
          <w:szCs w:val="32"/>
        </w:rPr>
        <w:br w:type="page"/>
      </w:r>
    </w:p>
    <w:p w14:paraId="738B92FF">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2A25E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2798FE0">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AED0CD1">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eastAsia="zh-CN"/>
              </w:rPr>
              <w:t>可</w:t>
            </w:r>
            <w:r>
              <w:rPr>
                <w:rFonts w:hint="eastAsia" w:ascii="仿宋_GB2312" w:hAnsi="仿宋_GB2312" w:eastAsia="仿宋_GB2312" w:cs="仿宋_GB2312"/>
                <w:b w:val="0"/>
                <w:bCs/>
                <w:color w:val="000000"/>
                <w:spacing w:val="6"/>
                <w:szCs w:val="28"/>
              </w:rPr>
              <w:t>为参</w:t>
            </w:r>
            <w:r>
              <w:rPr>
                <w:rFonts w:hint="eastAsia" w:ascii="仿宋_GB2312" w:hAnsi="仿宋_GB2312" w:eastAsia="仿宋_GB2312" w:cs="仿宋_GB2312"/>
                <w:b w:val="0"/>
                <w:bCs/>
                <w:color w:val="000000"/>
                <w:spacing w:val="6"/>
                <w:sz w:val="21"/>
                <w:szCs w:val="21"/>
              </w:rPr>
              <w:t>赛团队可提供</w:t>
            </w:r>
            <w:r>
              <w:rPr>
                <w:rFonts w:hint="eastAsia" w:ascii="仿宋_GB2312" w:hAnsi="仿宋_GB2312" w:eastAsia="仿宋_GB2312" w:cs="仿宋_GB2312"/>
                <w:b w:val="0"/>
                <w:bCs/>
                <w:color w:val="000000"/>
                <w:spacing w:val="6"/>
                <w:sz w:val="21"/>
                <w:szCs w:val="21"/>
                <w:lang w:val="en-US"/>
              </w:rPr>
              <w:t>的</w:t>
            </w:r>
            <w:r>
              <w:rPr>
                <w:rFonts w:hint="eastAsia" w:ascii="仿宋_GB2312" w:hAnsi="仿宋_GB2312" w:eastAsia="仿宋_GB2312" w:cs="仿宋_GB2312"/>
                <w:b w:val="0"/>
                <w:bCs/>
                <w:color w:val="000000"/>
                <w:spacing w:val="6"/>
                <w:sz w:val="21"/>
                <w:szCs w:val="21"/>
                <w:lang w:val="en-US" w:eastAsia="zh-CN"/>
              </w:rPr>
              <w:t>专业</w:t>
            </w:r>
            <w:r>
              <w:rPr>
                <w:rFonts w:hint="eastAsia" w:ascii="仿宋_GB2312" w:hAnsi="仿宋_GB2312" w:eastAsia="仿宋_GB2312" w:cs="仿宋_GB2312"/>
                <w:b w:val="0"/>
                <w:bCs/>
                <w:color w:val="000000"/>
                <w:spacing w:val="6"/>
                <w:sz w:val="21"/>
                <w:szCs w:val="21"/>
                <w:lang w:val="en-US"/>
              </w:rPr>
              <w:t>指导帮助</w:t>
            </w:r>
            <w:r>
              <w:rPr>
                <w:rFonts w:hint="eastAsia" w:ascii="仿宋_GB2312" w:hAnsi="仿宋_GB2312" w:eastAsia="仿宋_GB2312" w:cs="仿宋_GB2312"/>
                <w:b w:val="0"/>
                <w:bCs/>
                <w:color w:val="000000"/>
                <w:spacing w:val="6"/>
                <w:sz w:val="21"/>
                <w:szCs w:val="21"/>
              </w:rPr>
              <w:t>，如</w:t>
            </w:r>
            <w:r>
              <w:rPr>
                <w:rFonts w:hint="eastAsia" w:ascii="仿宋_GB2312" w:hAnsi="仿宋_GB2312" w:eastAsia="仿宋_GB2312" w:cs="仿宋_GB2312"/>
                <w:b w:val="0"/>
                <w:bCs/>
                <w:color w:val="000000"/>
                <w:spacing w:val="6"/>
                <w:sz w:val="21"/>
                <w:szCs w:val="21"/>
                <w:lang w:eastAsia="zh-CN"/>
              </w:rPr>
              <w:t>：</w:t>
            </w:r>
            <w:r>
              <w:rPr>
                <w:rFonts w:hint="eastAsia" w:ascii="仿宋_GB2312" w:hAnsi="仿宋_GB2312" w:eastAsia="仿宋_GB2312" w:cs="仿宋_GB2312"/>
                <w:b w:val="0"/>
                <w:bCs/>
                <w:color w:val="000000"/>
                <w:spacing w:val="6"/>
                <w:sz w:val="21"/>
                <w:szCs w:val="21"/>
                <w:lang w:val="en-US" w:eastAsia="zh-CN"/>
              </w:rPr>
              <w:t>专业知识讲解、现场参观、</w:t>
            </w:r>
            <w:r>
              <w:rPr>
                <w:rFonts w:hint="eastAsia" w:ascii="仿宋_GB2312" w:hAnsi="仿宋_GB2312" w:eastAsia="仿宋_GB2312" w:cs="仿宋_GB2312"/>
                <w:b w:val="0"/>
                <w:bCs/>
                <w:color w:val="000000"/>
                <w:spacing w:val="6"/>
                <w:sz w:val="21"/>
                <w:szCs w:val="21"/>
                <w:lang w:val="en-US"/>
              </w:rPr>
              <w:t>实践调研</w:t>
            </w:r>
            <w:r>
              <w:rPr>
                <w:rFonts w:hint="eastAsia" w:ascii="仿宋_GB2312" w:hAnsi="仿宋_GB2312" w:eastAsia="仿宋_GB2312" w:cs="仿宋_GB2312"/>
                <w:b w:val="0"/>
                <w:bCs/>
                <w:color w:val="000000"/>
                <w:spacing w:val="6"/>
                <w:sz w:val="21"/>
                <w:szCs w:val="21"/>
              </w:rPr>
              <w:t>、</w:t>
            </w:r>
            <w:r>
              <w:rPr>
                <w:rFonts w:hint="eastAsia" w:ascii="仿宋_GB2312" w:hAnsi="仿宋_GB2312" w:eastAsia="仿宋_GB2312" w:cs="仿宋_GB2312"/>
                <w:b w:val="0"/>
                <w:bCs/>
                <w:color w:val="000000"/>
                <w:spacing w:val="6"/>
                <w:sz w:val="21"/>
                <w:szCs w:val="21"/>
                <w:lang w:val="en-US"/>
              </w:rPr>
              <w:t>提供可供参考的</w:t>
            </w:r>
            <w:r>
              <w:rPr>
                <w:rFonts w:hint="eastAsia" w:ascii="仿宋_GB2312" w:hAnsi="仿宋_GB2312" w:eastAsia="仿宋_GB2312" w:cs="仿宋_GB2312"/>
                <w:b w:val="0"/>
                <w:bCs/>
                <w:color w:val="000000"/>
                <w:spacing w:val="6"/>
                <w:sz w:val="21"/>
                <w:szCs w:val="21"/>
              </w:rPr>
              <w:t>以往</w:t>
            </w:r>
            <w:r>
              <w:rPr>
                <w:rFonts w:hint="eastAsia" w:ascii="仿宋_GB2312" w:hAnsi="仿宋_GB2312" w:eastAsia="仿宋_GB2312" w:cs="仿宋_GB2312"/>
                <w:b w:val="0"/>
                <w:bCs/>
                <w:color w:val="000000"/>
                <w:spacing w:val="6"/>
                <w:sz w:val="21"/>
                <w:szCs w:val="21"/>
                <w:lang w:val="en-US"/>
              </w:rPr>
              <w:t>相关研究资料</w:t>
            </w:r>
            <w:r>
              <w:rPr>
                <w:rFonts w:hint="eastAsia" w:ascii="仿宋_GB2312" w:hAnsi="仿宋_GB2312" w:eastAsia="仿宋_GB2312" w:cs="仿宋_GB2312"/>
                <w:b w:val="0"/>
                <w:bCs/>
                <w:color w:val="000000"/>
                <w:spacing w:val="6"/>
                <w:sz w:val="21"/>
                <w:szCs w:val="21"/>
              </w:rPr>
              <w:t>材料等，配备</w:t>
            </w:r>
            <w:r>
              <w:rPr>
                <w:rFonts w:hint="eastAsia" w:ascii="仿宋_GB2312" w:hAnsi="仿宋_GB2312" w:eastAsia="仿宋_GB2312" w:cs="仿宋_GB2312"/>
                <w:b w:val="0"/>
                <w:bCs/>
                <w:color w:val="000000"/>
                <w:spacing w:val="6"/>
                <w:sz w:val="21"/>
                <w:szCs w:val="21"/>
                <w:lang w:val="en-US" w:eastAsia="zh-CN"/>
              </w:rPr>
              <w:t>专业人员进行</w:t>
            </w:r>
            <w:r>
              <w:rPr>
                <w:rFonts w:hint="eastAsia" w:ascii="仿宋_GB2312" w:hAnsi="仿宋_GB2312" w:eastAsia="仿宋_GB2312" w:cs="仿宋_GB2312"/>
                <w:b w:val="0"/>
                <w:bCs/>
                <w:color w:val="000000"/>
                <w:spacing w:val="6"/>
                <w:sz w:val="21"/>
                <w:szCs w:val="21"/>
              </w:rPr>
              <w:t>指导</w:t>
            </w:r>
            <w:r>
              <w:rPr>
                <w:rFonts w:hint="eastAsia" w:ascii="仿宋_GB2312" w:hAnsi="仿宋_GB2312" w:eastAsia="仿宋_GB2312" w:cs="仿宋_GB2312"/>
                <w:b w:val="0"/>
                <w:bCs/>
                <w:color w:val="000000"/>
                <w:spacing w:val="6"/>
                <w:szCs w:val="28"/>
                <w:lang w:eastAsia="zh-CN"/>
              </w:rPr>
              <w:t>，</w:t>
            </w:r>
            <w:r>
              <w:rPr>
                <w:rFonts w:hint="eastAsia" w:ascii="仿宋_GB2312" w:hAnsi="仿宋_GB2312" w:eastAsia="仿宋_GB2312" w:cs="仿宋_GB2312"/>
                <w:b w:val="0"/>
                <w:bCs/>
                <w:color w:val="000000"/>
                <w:spacing w:val="6"/>
                <w:szCs w:val="28"/>
                <w:lang w:val="en-US" w:eastAsia="zh-CN"/>
              </w:rPr>
              <w:t>提供拍摄场地。</w:t>
            </w:r>
          </w:p>
        </w:tc>
      </w:tr>
      <w:tr w14:paraId="47B75E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A48F3D9">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6C2F967">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一、奖项设置</w:t>
            </w:r>
          </w:p>
          <w:p w14:paraId="7A4D50F3">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原则上设“擂主”团队1个，根据实际情况评出相应的特等奖、一等奖、二等奖、三等奖项目若干。</w:t>
            </w:r>
          </w:p>
          <w:p w14:paraId="2C02A844">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二、激励措施</w:t>
            </w:r>
          </w:p>
          <w:p w14:paraId="42BC5B26">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擂主团队可根据专业不同，推荐实习岗位。</w:t>
            </w:r>
          </w:p>
          <w:p w14:paraId="3886F5E5">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特等奖作品将在“健康西城”公众号上进行展示。</w:t>
            </w:r>
          </w:p>
          <w:p w14:paraId="31459457">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针对获奖作品及所有作品中具有参考价值的作品，提供书面感谢函以及奖状证书。</w:t>
            </w:r>
          </w:p>
        </w:tc>
      </w:tr>
    </w:tbl>
    <w:p w14:paraId="404604AA">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2D70B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E4A155F">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81322D">
            <w:pPr>
              <w:keepNext w:val="0"/>
              <w:keepLines w:val="0"/>
              <w:widowControl/>
              <w:suppressLineNumbers w:val="0"/>
              <w:ind w:firstLine="504" w:firstLineChars="200"/>
              <w:jc w:val="left"/>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lang w:val="en-US" w:eastAsia="zh-CN"/>
              </w:rPr>
              <w:t>现阶段，公众对专业医疗知识需求日益迫切，但医疗信息传播碎片化、良莠不齐，虚假医疗科普误导群众。且专业医疗知识晦涩难懂，传统宣传形式触达有限，导致部分群众因知识匮乏延误就医、不合理用药，同时也不利于医疗资源合理利用。</w:t>
            </w:r>
          </w:p>
        </w:tc>
      </w:tr>
      <w:tr w14:paraId="2A3E13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FDA81">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DBF23">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lang w:val="en-US" w:eastAsia="zh-CN"/>
              </w:rPr>
              <w:t>健康宣传片以直观易懂的视听形式，</w:t>
            </w:r>
            <w:bookmarkStart w:id="3" w:name="OLE_LINK2"/>
            <w:r>
              <w:rPr>
                <w:rFonts w:hint="eastAsia" w:ascii="仿宋_GB2312" w:hAnsi="仿宋_GB2312" w:eastAsia="仿宋_GB2312" w:cs="仿宋_GB2312"/>
                <w:b w:val="0"/>
                <w:bCs/>
                <w:color w:val="000000"/>
                <w:spacing w:val="6"/>
                <w:szCs w:val="28"/>
                <w:lang w:val="en-US" w:eastAsia="zh-CN"/>
              </w:rPr>
              <w:t>传递权威医疗知识，</w:t>
            </w:r>
            <w:bookmarkEnd w:id="3"/>
            <w:r>
              <w:rPr>
                <w:rFonts w:hint="eastAsia" w:ascii="仿宋_GB2312" w:hAnsi="仿宋_GB2312" w:eastAsia="仿宋_GB2312" w:cs="仿宋_GB2312"/>
                <w:b w:val="0"/>
                <w:bCs/>
                <w:color w:val="000000"/>
                <w:spacing w:val="6"/>
                <w:szCs w:val="28"/>
                <w:lang w:val="en-US" w:eastAsia="zh-CN"/>
              </w:rPr>
              <w:t>破解科普痛点，引导公众科学认知疾病、规范就医。更能升华全民健康理念，助力医疗体系向“预防为主”转型，拉近医患距离，构建和谐医患关系，提升全民医疗健康素养，为健康中国战略落地筑牢基础，推动构建人人懂健康、守健康的和谐社会。</w:t>
            </w:r>
          </w:p>
        </w:tc>
      </w:tr>
    </w:tbl>
    <w:p w14:paraId="1CD3B5AD">
      <w:pPr>
        <w:keepNext w:val="0"/>
        <w:keepLines w:val="0"/>
        <w:pageBreakBefore w:val="0"/>
        <w:widowControl w:val="0"/>
        <w:kinsoku/>
        <w:wordWrap w:val="0"/>
        <w:topLinePunct w:val="0"/>
        <w:autoSpaceDE/>
        <w:autoSpaceDN/>
        <w:bidi w:val="0"/>
        <w:rPr>
          <w:rFonts w:hint="eastAsia" w:ascii="楷体_GB2312" w:hAnsi="楷体_GB2312" w:eastAsia="楷体_GB2312" w:cs="楷体_GB2312"/>
          <w:b/>
          <w:bCs/>
          <w:color w:val="auto"/>
          <w:lang w:eastAsia="zh-CN"/>
        </w:rPr>
      </w:pPr>
      <w:r>
        <w:rPr>
          <w:rFonts w:hint="eastAsia" w:ascii="楷体_GB2312" w:hAnsi="楷体_GB2312" w:eastAsia="楷体_GB2312" w:cs="楷体_GB2312"/>
          <w:b/>
          <w:bCs/>
          <w:color w:val="auto"/>
          <w:lang w:eastAsia="zh-CN"/>
        </w:rPr>
        <w:br w:type="page"/>
      </w:r>
    </w:p>
    <w:p w14:paraId="74DFA7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728F8A8A">
      <w:pPr>
        <w:widowControl w:val="0"/>
        <w:tabs>
          <w:tab w:val="left" w:pos="8640"/>
        </w:tabs>
        <w:adjustRightInd w:val="0"/>
        <w:snapToGrid w:val="0"/>
        <w:spacing w:line="560" w:lineRule="exact"/>
        <w:jc w:val="center"/>
        <w:rPr>
          <w:rFonts w:ascii="方正黑体简体" w:eastAsia="方正黑体简体"/>
          <w:bCs/>
          <w:color w:val="auto"/>
          <w:spacing w:val="6"/>
          <w:sz w:val="21"/>
          <w:szCs w:val="21"/>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—07</w:t>
      </w:r>
    </w:p>
    <w:p w14:paraId="7593630B">
      <w:pPr>
        <w:keepNext w:val="0"/>
        <w:keepLines w:val="0"/>
        <w:pageBreakBefore w:val="0"/>
        <w:widowControl w:val="0"/>
        <w:tabs>
          <w:tab w:val="left" w:pos="8640"/>
        </w:tabs>
        <w:kinsoku/>
        <w:wordWrap w:val="0"/>
        <w:overflowPunct/>
        <w:topLinePunct w:val="0"/>
        <w:autoSpaceDE/>
        <w:autoSpaceDN/>
        <w:bidi w:val="0"/>
        <w:adjustRightInd w:val="0"/>
        <w:snapToGrid w:val="0"/>
        <w:spacing w:line="240" w:lineRule="auto"/>
        <w:textAlignment w:val="auto"/>
        <w:rPr>
          <w:rFonts w:ascii="方正黑体简体" w:eastAsia="方正黑体简体"/>
          <w:bCs/>
          <w:color w:val="auto"/>
          <w:spacing w:val="6"/>
          <w:sz w:val="21"/>
          <w:szCs w:val="21"/>
        </w:rPr>
      </w:pPr>
    </w:p>
    <w:p w14:paraId="52D3A544">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6E2E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5807A01E">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lang w:eastAsia="zh-CN"/>
              </w:rPr>
              <w:t>单位名称</w:t>
            </w:r>
          </w:p>
        </w:tc>
        <w:tc>
          <w:tcPr>
            <w:tcW w:w="6932" w:type="dxa"/>
            <w:gridSpan w:val="3"/>
            <w:vAlign w:val="center"/>
          </w:tcPr>
          <w:p w14:paraId="3E634C7B">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北京市朝阳区人民政府和平街街道办事处</w:t>
            </w:r>
          </w:p>
        </w:tc>
      </w:tr>
      <w:tr w14:paraId="4653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4D468D0C">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val="en-US" w:eastAsia="zh-CN"/>
              </w:rPr>
            </w:pPr>
            <w:r>
              <w:rPr>
                <w:rFonts w:hint="eastAsia" w:ascii="楷体_GB2312" w:hAnsi="楷体_GB2312" w:eastAsia="楷体_GB2312" w:cs="楷体_GB2312"/>
                <w:b w:val="0"/>
                <w:color w:val="000000"/>
                <w:sz w:val="28"/>
                <w:szCs w:val="28"/>
                <w:u w:val="none"/>
                <w:lang w:val="en-US" w:eastAsia="zh-CN"/>
              </w:rPr>
              <w:t>单位类型</w:t>
            </w:r>
          </w:p>
        </w:tc>
        <w:tc>
          <w:tcPr>
            <w:tcW w:w="6932" w:type="dxa"/>
            <w:gridSpan w:val="3"/>
            <w:vAlign w:val="center"/>
          </w:tcPr>
          <w:p w14:paraId="298C3F1D">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街道乡镇</w:t>
            </w:r>
          </w:p>
        </w:tc>
      </w:tr>
      <w:tr w14:paraId="0926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2A787FEA">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lang w:eastAsia="zh-CN"/>
              </w:rPr>
              <w:t>地址</w:t>
            </w:r>
          </w:p>
        </w:tc>
        <w:tc>
          <w:tcPr>
            <w:tcW w:w="6932" w:type="dxa"/>
            <w:gridSpan w:val="3"/>
            <w:vAlign w:val="center"/>
          </w:tcPr>
          <w:p w14:paraId="26E8D5CA">
            <w:pPr>
              <w:keepNext w:val="0"/>
              <w:keepLines w:val="0"/>
              <w:pageBreakBefore w:val="0"/>
              <w:widowControl w:val="0"/>
              <w:kinsoku/>
              <w:wordWrap w:val="0"/>
              <w:topLinePunct w:val="0"/>
              <w:autoSpaceDE/>
              <w:autoSpaceDN/>
              <w:bidi w:val="0"/>
              <w:adjustRightInd w:val="0"/>
              <w:jc w:val="center"/>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北京市朝阳区小黄庄西苑甲</w:t>
            </w:r>
            <w:r>
              <w:rPr>
                <w:rFonts w:hint="eastAsia" w:ascii="仿宋_GB2312" w:hAnsi="仿宋_GB2312" w:eastAsia="仿宋_GB2312" w:cs="仿宋_GB2312"/>
                <w:color w:val="auto"/>
                <w:lang w:val="en-US" w:eastAsia="zh-CN"/>
              </w:rPr>
              <w:t>10号</w:t>
            </w:r>
          </w:p>
        </w:tc>
      </w:tr>
      <w:tr w14:paraId="36F44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668" w:type="dxa"/>
            <w:vAlign w:val="center"/>
          </w:tcPr>
          <w:p w14:paraId="38A9C3F0">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lang w:val="en-US" w:eastAsia="zh-CN"/>
              </w:rPr>
              <w:t>单位</w:t>
            </w:r>
            <w:r>
              <w:rPr>
                <w:rFonts w:hint="eastAsia" w:ascii="楷体_GB2312" w:hAnsi="楷体_GB2312" w:eastAsia="楷体_GB2312" w:cs="楷体_GB2312"/>
                <w:b w:val="0"/>
                <w:color w:val="000000"/>
                <w:sz w:val="28"/>
                <w:szCs w:val="28"/>
                <w:u w:val="none"/>
                <w:lang w:eastAsia="zh-CN"/>
              </w:rPr>
              <w:t>简介</w:t>
            </w:r>
          </w:p>
        </w:tc>
        <w:tc>
          <w:tcPr>
            <w:tcW w:w="6932" w:type="dxa"/>
            <w:gridSpan w:val="3"/>
            <w:vAlign w:val="center"/>
          </w:tcPr>
          <w:p w14:paraId="5E44EC3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i w:val="0"/>
                <w:caps w:val="0"/>
                <w:color w:val="1F2329"/>
                <w:spacing w:val="0"/>
                <w:sz w:val="24"/>
                <w:szCs w:val="24"/>
                <w:shd w:val="clear" w:fill="FFFFFF"/>
                <w:lang w:val="en-US" w:eastAsia="zh-CN"/>
              </w:rPr>
            </w:pPr>
            <w:r>
              <w:rPr>
                <w:rFonts w:hint="eastAsia" w:ascii="仿宋_GB2312" w:hAnsi="仿宋_GB2312" w:eastAsia="仿宋_GB2312" w:cs="仿宋_GB2312"/>
                <w:i w:val="0"/>
                <w:caps w:val="0"/>
                <w:color w:val="1F2329"/>
                <w:spacing w:val="0"/>
                <w:sz w:val="24"/>
                <w:szCs w:val="24"/>
                <w:shd w:val="clear" w:fill="FFFFFF"/>
                <w:lang w:val="en-US" w:eastAsia="zh-CN"/>
              </w:rPr>
              <w:t>和平街街道始建于1956年，距今已有70年历史。辖区</w:t>
            </w:r>
            <w:r>
              <w:rPr>
                <w:rFonts w:hint="eastAsia" w:ascii="仿宋_GB2312" w:hAnsi="仿宋_GB2312" w:eastAsia="仿宋_GB2312" w:cs="仿宋_GB2312"/>
                <w:i w:val="0"/>
                <w:caps w:val="0"/>
                <w:color w:val="1F2329"/>
                <w:spacing w:val="0"/>
                <w:sz w:val="24"/>
                <w:szCs w:val="24"/>
                <w:shd w:val="clear" w:fill="FFFFFF"/>
                <w:lang w:eastAsia="zh-CN"/>
              </w:rPr>
              <w:t>地理位置优越，位于北三环附近，被朝阳区确定为“奥运功能区东南部文化教育区”，按照“一廊两带三区”新的功能布局，处于“三区”中的建成区，属于已经稳定发展的成熟区域。</w:t>
            </w:r>
            <w:r>
              <w:rPr>
                <w:rFonts w:hint="eastAsia" w:ascii="仿宋_GB2312" w:hAnsi="仿宋_GB2312" w:eastAsia="仿宋_GB2312" w:cs="仿宋_GB2312"/>
                <w:i w:val="0"/>
                <w:caps w:val="0"/>
                <w:color w:val="1F2329"/>
                <w:spacing w:val="0"/>
                <w:sz w:val="24"/>
                <w:szCs w:val="24"/>
                <w:shd w:val="clear" w:fill="FFFFFF"/>
                <w:lang w:val="en-US" w:eastAsia="zh-CN"/>
              </w:rPr>
              <w:t>面积4.54平方公里。辖区内的一座三甲医院、三所高校、四大文化艺术团体、四大科研院所，更为和平街积淀了深厚的文化底蕴，文化就是和平街最大的特色。</w:t>
            </w:r>
          </w:p>
          <w:p w14:paraId="2B9F612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i w:val="0"/>
                <w:caps w:val="0"/>
                <w:color w:val="1F2329"/>
                <w:spacing w:val="0"/>
                <w:sz w:val="24"/>
                <w:szCs w:val="24"/>
                <w:shd w:val="clear" w:fill="FFFFFF"/>
                <w:lang w:eastAsia="zh-CN"/>
              </w:rPr>
            </w:pPr>
            <w:r>
              <w:rPr>
                <w:rFonts w:hint="eastAsia" w:ascii="仿宋_GB2312" w:hAnsi="仿宋_GB2312" w:eastAsia="仿宋_GB2312" w:cs="仿宋_GB2312"/>
                <w:i w:val="0"/>
                <w:caps w:val="0"/>
                <w:color w:val="1F2329"/>
                <w:spacing w:val="0"/>
                <w:sz w:val="24"/>
                <w:szCs w:val="24"/>
                <w:shd w:val="clear" w:fill="FFFFFF"/>
                <w:lang w:eastAsia="zh-CN"/>
              </w:rPr>
              <w:t>和平街街道党群服务中心（简称和美会客厅），以“和合共生、美美与共”为核心理念，依托建街 70 周年与“十五五”开局契机，将原有商业空间改造为集党建引领、企业服务、校街融合、创新创业、文化传承、基层治理于一体的综合性服务阵地。</w:t>
            </w:r>
          </w:p>
          <w:p w14:paraId="2074ED3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rPr>
            </w:pPr>
            <w:r>
              <w:rPr>
                <w:rFonts w:hint="eastAsia" w:ascii="仿宋_GB2312" w:hAnsi="仿宋_GB2312" w:eastAsia="仿宋_GB2312" w:cs="仿宋_GB2312"/>
                <w:i w:val="0"/>
                <w:caps w:val="0"/>
                <w:color w:val="1F2329"/>
                <w:spacing w:val="0"/>
                <w:sz w:val="24"/>
                <w:szCs w:val="24"/>
                <w:shd w:val="clear" w:fill="FFFFFF"/>
              </w:rPr>
              <w:t>项目按 “一层基石、二层赋能、三层领航、天台延伸”分层布局，重点打造企业全生命周期一站式服务、</w:t>
            </w:r>
            <w:r>
              <w:rPr>
                <w:rFonts w:hint="eastAsia" w:ascii="仿宋_GB2312" w:hAnsi="仿宋_GB2312" w:eastAsia="仿宋_GB2312" w:cs="仿宋_GB2312"/>
                <w:i w:val="0"/>
                <w:caps w:val="0"/>
                <w:color w:val="1F2329"/>
                <w:spacing w:val="0"/>
                <w:sz w:val="24"/>
                <w:szCs w:val="24"/>
                <w:shd w:val="clear" w:fill="FFFFFF"/>
                <w:lang w:eastAsia="zh-CN"/>
              </w:rPr>
              <w:t>三所</w:t>
            </w:r>
            <w:r>
              <w:rPr>
                <w:rFonts w:hint="eastAsia" w:ascii="仿宋_GB2312" w:hAnsi="仿宋_GB2312" w:eastAsia="仿宋_GB2312" w:cs="仿宋_GB2312"/>
                <w:i w:val="0"/>
                <w:caps w:val="0"/>
                <w:color w:val="1F2329"/>
                <w:spacing w:val="0"/>
                <w:sz w:val="24"/>
                <w:szCs w:val="24"/>
                <w:shd w:val="clear" w:fill="FFFFFF"/>
              </w:rPr>
              <w:t>高校（</w:t>
            </w:r>
            <w:r>
              <w:rPr>
                <w:rFonts w:hint="eastAsia" w:ascii="仿宋_GB2312" w:hAnsi="仿宋_GB2312" w:eastAsia="仿宋_GB2312" w:cs="仿宋_GB2312"/>
                <w:i w:val="0"/>
                <w:caps w:val="0"/>
                <w:color w:val="1F2329"/>
                <w:spacing w:val="0"/>
                <w:sz w:val="24"/>
                <w:szCs w:val="24"/>
                <w:shd w:val="clear" w:fill="FFFFFF"/>
                <w:lang w:eastAsia="zh-CN"/>
              </w:rPr>
              <w:t>北京化工大学、北京中医药大学、北京服装学院</w:t>
            </w:r>
            <w:r>
              <w:rPr>
                <w:rFonts w:hint="eastAsia" w:ascii="仿宋_GB2312" w:hAnsi="仿宋_GB2312" w:eastAsia="仿宋_GB2312" w:cs="仿宋_GB2312"/>
                <w:i w:val="0"/>
                <w:caps w:val="0"/>
                <w:color w:val="1F2329"/>
                <w:spacing w:val="0"/>
                <w:sz w:val="24"/>
                <w:szCs w:val="24"/>
                <w:shd w:val="clear" w:fill="FFFFFF"/>
              </w:rPr>
              <w:t>）创新创业孵化、营商环境优化与党群活动融合三大功能，配套智慧服务系统、品牌视觉体系</w:t>
            </w:r>
            <w:r>
              <w:rPr>
                <w:rFonts w:hint="eastAsia" w:ascii="仿宋_GB2312" w:hAnsi="仿宋_GB2312" w:eastAsia="仿宋_GB2312" w:cs="仿宋_GB2312"/>
                <w:i w:val="0"/>
                <w:caps w:val="0"/>
                <w:color w:val="1F2329"/>
                <w:spacing w:val="0"/>
                <w:sz w:val="24"/>
                <w:szCs w:val="24"/>
                <w:shd w:val="clear" w:fill="FFFFFF"/>
                <w:lang w:eastAsia="zh-CN"/>
              </w:rPr>
              <w:t>；</w:t>
            </w:r>
            <w:r>
              <w:rPr>
                <w:rFonts w:hint="eastAsia" w:ascii="仿宋_GB2312" w:hAnsi="仿宋_GB2312" w:eastAsia="仿宋_GB2312" w:cs="仿宋_GB2312"/>
                <w:i w:val="0"/>
                <w:caps w:val="0"/>
                <w:color w:val="1F2329"/>
                <w:spacing w:val="0"/>
                <w:sz w:val="24"/>
                <w:szCs w:val="24"/>
                <w:shd w:val="clear" w:fill="FFFFFF"/>
              </w:rPr>
              <w:t>“六和”品牌活动矩阵及长效运营机制，最终建成党建强、服务优、企业兴、社区和的城市会客厅与发展赋能平台，为街道高质量发展与基层治理现代化提供实体支撑。</w:t>
            </w:r>
          </w:p>
        </w:tc>
      </w:tr>
      <w:tr w14:paraId="0AD0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5E4BA53C">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lang w:val="en-US" w:eastAsia="zh-CN"/>
              </w:rPr>
              <w:t>联系人</w:t>
            </w:r>
          </w:p>
        </w:tc>
        <w:tc>
          <w:tcPr>
            <w:tcW w:w="3076" w:type="dxa"/>
            <w:vAlign w:val="center"/>
          </w:tcPr>
          <w:p w14:paraId="0D053CB9">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赵昕宇</w:t>
            </w:r>
          </w:p>
        </w:tc>
        <w:tc>
          <w:tcPr>
            <w:tcW w:w="1073" w:type="dxa"/>
            <w:vAlign w:val="center"/>
          </w:tcPr>
          <w:p w14:paraId="19F2D642">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lang w:eastAsia="zh-CN"/>
              </w:rPr>
              <w:t>职务</w:t>
            </w:r>
          </w:p>
        </w:tc>
        <w:tc>
          <w:tcPr>
            <w:tcW w:w="2783" w:type="dxa"/>
            <w:vAlign w:val="center"/>
          </w:tcPr>
          <w:p w14:paraId="7163FEF1">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lang w:eastAsia="zh-CN"/>
              </w:rPr>
            </w:pPr>
            <w:r>
              <w:rPr>
                <w:rFonts w:hint="eastAsia" w:ascii="仿宋_GB2312" w:hAnsi="仿宋_GB2312" w:eastAsia="仿宋_GB2312" w:cs="仿宋_GB2312"/>
                <w:bCs/>
                <w:color w:val="auto"/>
                <w:spacing w:val="6"/>
                <w:szCs w:val="28"/>
                <w:lang w:val="en-US" w:eastAsia="zh-CN"/>
              </w:rPr>
              <w:t>团干部</w:t>
            </w:r>
          </w:p>
        </w:tc>
      </w:tr>
      <w:tr w14:paraId="2C7BB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6313E27C">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val="en-US" w:eastAsia="zh-CN"/>
              </w:rPr>
            </w:pPr>
            <w:r>
              <w:rPr>
                <w:rFonts w:hint="eastAsia" w:ascii="楷体_GB2312" w:hAnsi="楷体_GB2312" w:eastAsia="楷体_GB2312" w:cs="楷体_GB2312"/>
                <w:b w:val="0"/>
                <w:color w:val="000000"/>
                <w:sz w:val="28"/>
                <w:szCs w:val="28"/>
                <w:u w:val="none"/>
                <w:lang w:val="en-US" w:eastAsia="zh-CN"/>
              </w:rPr>
              <w:t>联系方式</w:t>
            </w:r>
          </w:p>
        </w:tc>
        <w:tc>
          <w:tcPr>
            <w:tcW w:w="3076" w:type="dxa"/>
            <w:vAlign w:val="center"/>
          </w:tcPr>
          <w:p w14:paraId="52256390">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default" w:ascii="Times New Roman" w:hAnsi="Times New Roman" w:eastAsia="仿宋_GB2312" w:cs="Times New Roman"/>
                <w:bCs/>
                <w:color w:val="auto"/>
                <w:spacing w:val="6"/>
                <w:szCs w:val="28"/>
                <w:lang w:val="en-US" w:eastAsia="zh-CN"/>
              </w:rPr>
              <w:t>010-84280450</w:t>
            </w:r>
          </w:p>
        </w:tc>
        <w:tc>
          <w:tcPr>
            <w:tcW w:w="1073" w:type="dxa"/>
            <w:vAlign w:val="center"/>
          </w:tcPr>
          <w:p w14:paraId="032363E4">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lang w:eastAsia="zh-CN"/>
              </w:rPr>
              <w:t>微信</w:t>
            </w:r>
          </w:p>
        </w:tc>
        <w:tc>
          <w:tcPr>
            <w:tcW w:w="2783" w:type="dxa"/>
            <w:vAlign w:val="center"/>
          </w:tcPr>
          <w:p w14:paraId="58B23021">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rPr>
            </w:pPr>
            <w:r>
              <w:rPr>
                <w:rFonts w:hint="default" w:ascii="Times New Roman" w:hAnsi="Times New Roman" w:eastAsia="仿宋_GB2312" w:cs="Times New Roman"/>
                <w:bCs/>
                <w:color w:val="auto"/>
                <w:spacing w:val="6"/>
                <w:szCs w:val="28"/>
                <w:lang w:val="en-US" w:eastAsia="zh-CN"/>
              </w:rPr>
              <w:t>K_09861</w:t>
            </w:r>
          </w:p>
        </w:tc>
      </w:tr>
    </w:tbl>
    <w:p w14:paraId="58B43E4A">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6BEE26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9365F7D">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098D6F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topLinePunct w:val="0"/>
              <w:autoSpaceDE/>
              <w:autoSpaceDN/>
              <w:bidi w:val="0"/>
              <w:spacing w:before="0" w:beforeAutospacing="0" w:after="0" w:afterAutospacing="0" w:line="240" w:lineRule="atLeast"/>
              <w:ind w:left="-360" w:leftChars="0" w:right="0" w:rightChars="0"/>
              <w:jc w:val="center"/>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eastAsia="zh-CN"/>
              </w:rPr>
              <w:t>北京朝阳</w:t>
            </w:r>
            <w:r>
              <w:rPr>
                <w:rFonts w:hint="eastAsia" w:ascii="仿宋_GB2312" w:hAnsi="仿宋_GB2312" w:eastAsia="仿宋_GB2312" w:cs="仿宋_GB2312"/>
                <w:b w:val="0"/>
                <w:bCs/>
                <w:color w:val="000000"/>
                <w:spacing w:val="6"/>
                <w:szCs w:val="28"/>
                <w:lang w:val="en-US" w:eastAsia="zh-CN"/>
              </w:rPr>
              <w:t xml:space="preserve"> </w:t>
            </w:r>
            <w:r>
              <w:rPr>
                <w:rFonts w:hint="eastAsia" w:ascii="仿宋_GB2312" w:hAnsi="仿宋_GB2312" w:eastAsia="仿宋_GB2312" w:cs="仿宋_GB2312"/>
                <w:b w:val="0"/>
                <w:bCs/>
                <w:color w:val="000000"/>
                <w:spacing w:val="6"/>
                <w:szCs w:val="28"/>
                <w:lang w:eastAsia="zh-CN"/>
              </w:rPr>
              <w:t>和平街街道</w:t>
            </w:r>
          </w:p>
          <w:p w14:paraId="4152016E">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topLinePunct w:val="0"/>
              <w:autoSpaceDE/>
              <w:autoSpaceDN/>
              <w:bidi w:val="0"/>
              <w:spacing w:before="0" w:beforeAutospacing="0" w:after="0" w:afterAutospacing="0" w:line="240" w:lineRule="atLeast"/>
              <w:ind w:left="-360" w:leftChars="0" w:right="0" w:rightChars="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“和美会客厅：青春设计 + 孵化赋能”</w:t>
            </w:r>
          </w:p>
        </w:tc>
      </w:tr>
      <w:tr w14:paraId="2E1431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E202803">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012AE10">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bCs/>
                <w:color w:val="000000"/>
                <w:spacing w:val="6"/>
                <w:szCs w:val="28"/>
                <w:lang w:eastAsia="zh-CN"/>
              </w:rPr>
              <w:t>文化设计、空间运用、创业孵化、公共服务运营</w:t>
            </w:r>
          </w:p>
        </w:tc>
      </w:tr>
      <w:tr w14:paraId="54817A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041"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DB9120E">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DFCBAD0">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在 “十五五” 规划开局与和平街建街 70 周年之际，和平街街道打造集党建领航、企业服务、创新孵化、高校联动等功能于一体的 “和美会客厅” 党群服务综合体，需强化 “高校 - 街道 - 企业” 三位一体协同模式。</w:t>
            </w:r>
          </w:p>
          <w:p w14:paraId="14962D53">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rPr>
              <w:t>现面向大学生征集方案，聚焦文化设计落地、空间高效运用、高校孵化器搭建及配套体制机制构建，要求方案贴合 “和合共生，美美与共” 核心理念，突出实用性与可落地性，规避成熟方案重复，需结合街道现有资源</w:t>
            </w:r>
            <w:r>
              <w:rPr>
                <w:rFonts w:hint="eastAsia" w:ascii="仿宋_GB2312" w:hAnsi="仿宋_GB2312" w:eastAsia="仿宋_GB2312" w:cs="仿宋_GB2312"/>
                <w:b w:val="0"/>
                <w:bCs/>
                <w:color w:val="000000"/>
                <w:spacing w:val="6"/>
                <w:szCs w:val="28"/>
                <w:lang w:eastAsia="zh-CN"/>
              </w:rPr>
              <w:t>及北京化工大学、北京中医药大学、北京服装学院三所驻区高校学科优势，</w:t>
            </w:r>
            <w:r>
              <w:rPr>
                <w:rFonts w:hint="eastAsia" w:ascii="仿宋_GB2312" w:hAnsi="仿宋_GB2312" w:eastAsia="仿宋_GB2312" w:cs="仿宋_GB2312"/>
                <w:b w:val="0"/>
                <w:bCs/>
                <w:color w:val="000000"/>
                <w:spacing w:val="6"/>
                <w:szCs w:val="28"/>
              </w:rPr>
              <w:t>确保方案能直接指导会客厅功能落地，助力优化营商环境与基层治理效能。</w:t>
            </w:r>
          </w:p>
        </w:tc>
      </w:tr>
      <w:tr w14:paraId="6BCA36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8F1C312">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D4DF58F">
            <w:pPr>
              <w:keepNext w:val="0"/>
              <w:keepLines w:val="0"/>
              <w:pageBreakBefore w:val="0"/>
              <w:widowControl w:val="0"/>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bCs w:val="0"/>
                <w:color w:val="000000"/>
                <w:spacing w:val="6"/>
                <w:szCs w:val="28"/>
                <w:lang w:val="en-US" w:eastAsia="zh-CN"/>
              </w:rPr>
              <w:t>1.</w:t>
            </w:r>
            <w:r>
              <w:rPr>
                <w:rFonts w:hint="eastAsia" w:ascii="仿宋_GB2312" w:hAnsi="仿宋_GB2312" w:eastAsia="仿宋_GB2312" w:cs="仿宋_GB2312"/>
                <w:b/>
                <w:bCs w:val="0"/>
                <w:color w:val="000000"/>
                <w:spacing w:val="6"/>
                <w:szCs w:val="28"/>
              </w:rPr>
              <w:t>内容完整性：</w:t>
            </w:r>
            <w:r>
              <w:rPr>
                <w:rFonts w:hint="eastAsia" w:ascii="仿宋_GB2312" w:hAnsi="仿宋_GB2312" w:eastAsia="仿宋_GB2312" w:cs="仿宋_GB2312"/>
                <w:b w:val="0"/>
                <w:bCs/>
                <w:color w:val="000000"/>
                <w:spacing w:val="6"/>
                <w:szCs w:val="28"/>
              </w:rPr>
              <w:t>需涵盖文化视觉设计、空间功能布局、高校孵化器运营、体制机制建设、经费预算五大核心模块，各模块逻辑连贯、数据支撑充分。</w:t>
            </w:r>
          </w:p>
          <w:p w14:paraId="635F9EFF">
            <w:pPr>
              <w:keepNext w:val="0"/>
              <w:keepLines w:val="0"/>
              <w:pageBreakBefore w:val="0"/>
              <w:widowControl w:val="0"/>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bCs w:val="0"/>
                <w:color w:val="000000"/>
                <w:spacing w:val="6"/>
                <w:szCs w:val="28"/>
                <w:lang w:val="en-US" w:eastAsia="zh-CN"/>
              </w:rPr>
              <w:t>2.</w:t>
            </w:r>
            <w:r>
              <w:rPr>
                <w:rFonts w:hint="eastAsia" w:ascii="仿宋_GB2312" w:hAnsi="仿宋_GB2312" w:eastAsia="仿宋_GB2312" w:cs="仿宋_GB2312"/>
                <w:b/>
                <w:bCs w:val="0"/>
                <w:color w:val="000000"/>
                <w:spacing w:val="6"/>
                <w:szCs w:val="28"/>
              </w:rPr>
              <w:t>落地可行性：</w:t>
            </w:r>
            <w:r>
              <w:rPr>
                <w:rFonts w:hint="eastAsia" w:ascii="仿宋_GB2312" w:hAnsi="仿宋_GB2312" w:eastAsia="仿宋_GB2312" w:cs="仿宋_GB2312"/>
                <w:b w:val="0"/>
                <w:bCs/>
                <w:color w:val="000000"/>
                <w:spacing w:val="6"/>
                <w:szCs w:val="28"/>
              </w:rPr>
              <w:t>方案需结合和平街街道实际情况，充分考虑场地条件、现有资源及成本约束，经费预算合理可控，空间设计符合建筑规范，孵化体系适配高校学生创业需求。</w:t>
            </w:r>
          </w:p>
          <w:p w14:paraId="353C0391">
            <w:pPr>
              <w:keepNext w:val="0"/>
              <w:keepLines w:val="0"/>
              <w:pageBreakBefore w:val="0"/>
              <w:widowControl w:val="0"/>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bCs w:val="0"/>
                <w:color w:val="000000"/>
                <w:spacing w:val="6"/>
                <w:szCs w:val="28"/>
                <w:lang w:val="en-US" w:eastAsia="zh-CN"/>
              </w:rPr>
              <w:t>3.</w:t>
            </w:r>
            <w:r>
              <w:rPr>
                <w:rFonts w:hint="eastAsia" w:ascii="仿宋_GB2312" w:hAnsi="仿宋_GB2312" w:eastAsia="仿宋_GB2312" w:cs="仿宋_GB2312"/>
                <w:b/>
                <w:bCs w:val="0"/>
                <w:color w:val="000000"/>
                <w:spacing w:val="6"/>
                <w:szCs w:val="28"/>
              </w:rPr>
              <w:t>创新适配性：</w:t>
            </w:r>
            <w:r>
              <w:rPr>
                <w:rFonts w:hint="eastAsia" w:ascii="仿宋_GB2312" w:hAnsi="仿宋_GB2312" w:eastAsia="仿宋_GB2312" w:cs="仿宋_GB2312"/>
                <w:b w:val="0"/>
                <w:bCs/>
                <w:color w:val="000000"/>
                <w:spacing w:val="6"/>
                <w:szCs w:val="28"/>
              </w:rPr>
              <w:t>文化设计需融入 “和和美美” 党建品牌元素，空间运用需体现功能融合与高效利用，孵化体系需贴合所高校学科特色，体制机制需具备可操作性与可持续性。</w:t>
            </w:r>
          </w:p>
          <w:p w14:paraId="0CED24F8">
            <w:pPr>
              <w:keepNext w:val="0"/>
              <w:keepLines w:val="0"/>
              <w:pageBreakBefore w:val="0"/>
              <w:widowControl w:val="0"/>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bCs w:val="0"/>
                <w:color w:val="000000"/>
                <w:spacing w:val="6"/>
                <w:szCs w:val="28"/>
                <w:lang w:val="en-US" w:eastAsia="zh-CN"/>
              </w:rPr>
              <w:t>4.</w:t>
            </w:r>
            <w:r>
              <w:rPr>
                <w:rFonts w:hint="eastAsia" w:ascii="仿宋_GB2312" w:hAnsi="仿宋_GB2312" w:eastAsia="仿宋_GB2312" w:cs="仿宋_GB2312"/>
                <w:b/>
                <w:bCs w:val="0"/>
                <w:color w:val="000000"/>
                <w:spacing w:val="6"/>
                <w:szCs w:val="28"/>
              </w:rPr>
              <w:t>提交形式：</w:t>
            </w:r>
            <w:r>
              <w:rPr>
                <w:rFonts w:hint="eastAsia" w:ascii="仿宋_GB2312" w:hAnsi="仿宋_GB2312" w:eastAsia="仿宋_GB2312" w:cs="仿宋_GB2312"/>
                <w:b w:val="0"/>
                <w:bCs/>
                <w:color w:val="000000"/>
                <w:spacing w:val="6"/>
                <w:szCs w:val="28"/>
              </w:rPr>
              <w:t>需提交完整项目报告（含文字说明、设计图、预算表、流程图），附 PPT 演示文件；设计图需标注尺寸、材质、功能分区，预算表需列明明细及测算依据。</w:t>
            </w:r>
          </w:p>
          <w:p w14:paraId="53B76B6E">
            <w:pPr>
              <w:keepNext w:val="0"/>
              <w:keepLines w:val="0"/>
              <w:pageBreakBefore w:val="0"/>
              <w:widowControl w:val="0"/>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b/>
                <w:bCs w:val="0"/>
                <w:color w:val="000000"/>
                <w:spacing w:val="6"/>
                <w:szCs w:val="28"/>
                <w:lang w:val="en-US" w:eastAsia="zh-CN"/>
              </w:rPr>
              <w:t>5.</w:t>
            </w:r>
            <w:r>
              <w:rPr>
                <w:rFonts w:hint="eastAsia" w:ascii="仿宋_GB2312" w:hAnsi="仿宋_GB2312" w:eastAsia="仿宋_GB2312" w:cs="仿宋_GB2312"/>
                <w:b/>
                <w:bCs w:val="0"/>
                <w:color w:val="000000"/>
                <w:spacing w:val="6"/>
                <w:szCs w:val="28"/>
              </w:rPr>
              <w:t>提交时间：</w:t>
            </w:r>
            <w:r>
              <w:rPr>
                <w:rFonts w:hint="eastAsia" w:ascii="仿宋_GB2312" w:hAnsi="仿宋_GB2312" w:eastAsia="仿宋_GB2312" w:cs="仿宋_GB2312"/>
                <w:b w:val="0"/>
                <w:bCs/>
                <w:color w:val="000000"/>
                <w:spacing w:val="6"/>
                <w:szCs w:val="28"/>
              </w:rPr>
              <w:t>需在揭榜阶段截止日期前（具体以赛事通知为准）提交电子版及纸质版材料，逾期</w:t>
            </w:r>
            <w:r>
              <w:rPr>
                <w:rFonts w:hint="eastAsia" w:ascii="仿宋_GB2312" w:hAnsi="仿宋_GB2312" w:eastAsia="仿宋_GB2312" w:cs="仿宋_GB2312"/>
                <w:b w:val="0"/>
                <w:bCs/>
                <w:color w:val="000000"/>
                <w:spacing w:val="6"/>
                <w:szCs w:val="28"/>
                <w:lang w:eastAsia="zh-CN"/>
              </w:rPr>
              <w:t>则</w:t>
            </w:r>
            <w:r>
              <w:rPr>
                <w:rFonts w:hint="eastAsia" w:ascii="仿宋_GB2312" w:hAnsi="仿宋_GB2312" w:eastAsia="仿宋_GB2312" w:cs="仿宋_GB2312"/>
                <w:b w:val="0"/>
                <w:bCs/>
                <w:color w:val="000000"/>
                <w:spacing w:val="6"/>
                <w:szCs w:val="28"/>
              </w:rPr>
              <w:t>视为无效。</w:t>
            </w:r>
          </w:p>
        </w:tc>
      </w:tr>
      <w:tr w14:paraId="4C380C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3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7349E">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07104397">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C995B4">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 xml:space="preserve">作品评审总分为100分，从五大核心维度进行综合评定，具体标准如下： </w:t>
            </w:r>
          </w:p>
          <w:p w14:paraId="362E5D9B">
            <w:pPr>
              <w:keepNext w:val="0"/>
              <w:keepLines w:val="0"/>
              <w:pageBreakBefore w:val="0"/>
              <w:widowControl w:val="0"/>
              <w:numPr>
                <w:ilvl w:val="0"/>
                <w:numId w:val="2"/>
              </w:numPr>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bCs w:val="0"/>
                <w:color w:val="000000"/>
                <w:spacing w:val="6"/>
                <w:szCs w:val="28"/>
                <w:lang w:val="en-US" w:eastAsia="zh-CN"/>
              </w:rPr>
              <w:t>落地可行性（30分）：</w:t>
            </w:r>
            <w:r>
              <w:rPr>
                <w:rFonts w:hint="eastAsia" w:ascii="仿宋_GB2312" w:hAnsi="仿宋_GB2312" w:eastAsia="仿宋_GB2312" w:cs="仿宋_GB2312"/>
                <w:b w:val="0"/>
                <w:bCs/>
                <w:color w:val="000000"/>
                <w:spacing w:val="6"/>
                <w:szCs w:val="28"/>
                <w:lang w:val="en-US" w:eastAsia="zh-CN"/>
              </w:rPr>
              <w:t xml:space="preserve">经费预算贴合和平街街道实际情况，无明显超支或漏项，测算依据充分、逻辑清晰，能满足项目落地的成本需求；空间设计严格契合会客厅现有场地条件与建筑规范，施工难度适中，无需额外大规模改造即可推进；孵化体系与体制机制充分适配街道资源及三所高校优势，流程设计合理，可直接转化为实际运营动作，无悬浮性内容。 </w:t>
            </w:r>
          </w:p>
          <w:p w14:paraId="2DCA7AA2">
            <w:pPr>
              <w:keepNext w:val="0"/>
              <w:keepLines w:val="0"/>
              <w:pageBreakBefore w:val="0"/>
              <w:widowControl w:val="0"/>
              <w:numPr>
                <w:ilvl w:val="0"/>
                <w:numId w:val="2"/>
              </w:numPr>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bCs w:val="0"/>
                <w:color w:val="000000"/>
                <w:spacing w:val="6"/>
                <w:szCs w:val="28"/>
                <w:lang w:val="en-US" w:eastAsia="zh-CN"/>
              </w:rPr>
              <w:t>创新实用性（25分）</w:t>
            </w:r>
            <w:r>
              <w:rPr>
                <w:rFonts w:hint="eastAsia" w:ascii="仿宋_GB2312" w:hAnsi="仿宋_GB2312" w:eastAsia="仿宋_GB2312" w:cs="仿宋_GB2312"/>
                <w:b w:val="0"/>
                <w:bCs/>
                <w:color w:val="000000"/>
                <w:spacing w:val="6"/>
                <w:szCs w:val="28"/>
                <w:lang w:val="en-US" w:eastAsia="zh-CN"/>
              </w:rPr>
              <w:t xml:space="preserve">：文化设计深度融入“和和美美”党建品牌元素与和平街地域特色，兼具视觉辨识度与场景适配性，能有效传递项目核心理念；空间运用方案聚焦功能融合与高效利用，在有限场地内实现多场景需求兼容，动线设计科学流畅；孵化模式或运营机制具备创新性，能针对性解决会客厅运营、高校创业孵化等实际问题，具有可复制推广的参考价值。 </w:t>
            </w:r>
          </w:p>
          <w:p w14:paraId="29E89206">
            <w:pPr>
              <w:keepNext w:val="0"/>
              <w:keepLines w:val="0"/>
              <w:pageBreakBefore w:val="0"/>
              <w:widowControl w:val="0"/>
              <w:numPr>
                <w:ilvl w:val="0"/>
                <w:numId w:val="2"/>
              </w:numPr>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bCs w:val="0"/>
                <w:color w:val="000000"/>
                <w:spacing w:val="6"/>
                <w:szCs w:val="28"/>
                <w:lang w:val="en-US" w:eastAsia="zh-CN"/>
              </w:rPr>
              <w:t>内容完整性（20分）</w:t>
            </w:r>
            <w:r>
              <w:rPr>
                <w:rFonts w:hint="eastAsia" w:ascii="仿宋_GB2312" w:hAnsi="仿宋_GB2312" w:eastAsia="仿宋_GB2312" w:cs="仿宋_GB2312"/>
                <w:b w:val="0"/>
                <w:bCs/>
                <w:color w:val="000000"/>
                <w:spacing w:val="6"/>
                <w:szCs w:val="28"/>
                <w:lang w:val="en-US" w:eastAsia="zh-CN"/>
              </w:rPr>
              <w:t xml:space="preserve">：方案需完整涵盖文化视觉设计、空间功能布局、高校孵化器运营、体制机制建设、经费预算五大核心模块，各模块逻辑连贯、衔接顺畅，无关键内容缺失；配套的设计图、预算明细、流程示意图等附件规范完整，标注清晰准确，能为方案落地提供充分支撑。 </w:t>
            </w:r>
          </w:p>
          <w:p w14:paraId="1EE0E9CE">
            <w:pPr>
              <w:keepNext w:val="0"/>
              <w:keepLines w:val="0"/>
              <w:pageBreakBefore w:val="0"/>
              <w:widowControl w:val="0"/>
              <w:numPr>
                <w:ilvl w:val="0"/>
                <w:numId w:val="2"/>
              </w:numPr>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bCs w:val="0"/>
                <w:color w:val="000000"/>
                <w:spacing w:val="6"/>
                <w:szCs w:val="28"/>
                <w:lang w:val="en-US" w:eastAsia="zh-CN"/>
              </w:rPr>
              <w:t>适配契合度（15分）</w:t>
            </w:r>
            <w:r>
              <w:rPr>
                <w:rFonts w:hint="eastAsia" w:ascii="仿宋_GB2312" w:hAnsi="仿宋_GB2312" w:eastAsia="仿宋_GB2312" w:cs="仿宋_GB2312"/>
                <w:b w:val="0"/>
                <w:bCs/>
                <w:color w:val="000000"/>
                <w:spacing w:val="6"/>
                <w:szCs w:val="28"/>
                <w:lang w:val="en-US" w:eastAsia="zh-CN"/>
              </w:rPr>
              <w:t xml:space="preserve">：结合北京化工大学、北京中医药大学、北京服装学院三所驻区高校学科特色，孵化方向与服务内容精准对接高校资源，能充分发挥校街协同优势；深度贴合“和合共生，美美与共”核心理念，符合会客厅党建领航、企业服务、创新孵化等功能定位，与街道发展需求高度匹配。 </w:t>
            </w:r>
          </w:p>
          <w:p w14:paraId="00CACB36">
            <w:pPr>
              <w:keepNext w:val="0"/>
              <w:keepLines w:val="0"/>
              <w:pageBreakBefore w:val="0"/>
              <w:widowControl w:val="0"/>
              <w:numPr>
                <w:ilvl w:val="0"/>
                <w:numId w:val="2"/>
              </w:numPr>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bCs w:val="0"/>
                <w:color w:val="000000"/>
                <w:spacing w:val="6"/>
                <w:szCs w:val="28"/>
                <w:lang w:val="en-US" w:eastAsia="zh-CN"/>
              </w:rPr>
              <w:t>呈现规范性（10分）</w:t>
            </w:r>
            <w:r>
              <w:rPr>
                <w:rFonts w:hint="eastAsia" w:ascii="仿宋_GB2312" w:hAnsi="仿宋_GB2312" w:eastAsia="仿宋_GB2312" w:cs="仿宋_GB2312"/>
                <w:b w:val="0"/>
                <w:bCs/>
                <w:color w:val="000000"/>
                <w:spacing w:val="6"/>
                <w:szCs w:val="28"/>
                <w:lang w:val="en-US" w:eastAsia="zh-CN"/>
              </w:rPr>
              <w:t xml:space="preserve">：项目报告结构严谨、层次分明，文字表达通顺准确，无语法错误与逻辑漏洞；PPT演示文件重点突出、可视化效果良好，能清晰呈现方案核心亮点与实施路径，便于展示讲解。 </w:t>
            </w:r>
          </w:p>
        </w:tc>
      </w:tr>
      <w:tr w14:paraId="1F70A6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D444EFA">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9C6C25F">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 xml:space="preserve">结合赛事要求与和平街街道和美会客厅项目特性，补充以下备注内容，确保参赛学生清晰关键细节、规范备赛，同时保障榜单执行顺畅： </w:t>
            </w:r>
          </w:p>
          <w:p w14:paraId="11ED011E">
            <w:pPr>
              <w:keepNext w:val="0"/>
              <w:keepLines w:val="0"/>
              <w:pageBreakBefore w:val="0"/>
              <w:widowControl w:val="0"/>
              <w:numPr>
                <w:ilvl w:val="0"/>
                <w:numId w:val="3"/>
              </w:numPr>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bCs w:val="0"/>
                <w:color w:val="000000"/>
                <w:spacing w:val="6"/>
                <w:szCs w:val="28"/>
                <w:lang w:val="en-US" w:eastAsia="zh-CN"/>
              </w:rPr>
              <w:t>选题聚焦“文化设计+空间运用”核心领域</w:t>
            </w:r>
            <w:r>
              <w:rPr>
                <w:rFonts w:hint="eastAsia" w:ascii="仿宋_GB2312" w:hAnsi="仿宋_GB2312" w:eastAsia="仿宋_GB2312" w:cs="仿宋_GB2312"/>
                <w:b w:val="0"/>
                <w:bCs/>
                <w:color w:val="000000"/>
                <w:spacing w:val="6"/>
                <w:szCs w:val="28"/>
                <w:lang w:val="en-US" w:eastAsia="zh-CN"/>
              </w:rPr>
              <w:t xml:space="preserve">，结合北京化工大学、北京中医药大学、北京服装学院三所驻区高校学科特色，避免脱离高校资源与街道实际需求的泛化方案，优先突出校街协同与落地实操性。 </w:t>
            </w:r>
          </w:p>
          <w:p w14:paraId="073C8ABF">
            <w:pPr>
              <w:keepNext w:val="0"/>
              <w:keepLines w:val="0"/>
              <w:pageBreakBefore w:val="0"/>
              <w:widowControl w:val="0"/>
              <w:numPr>
                <w:ilvl w:val="0"/>
                <w:numId w:val="3"/>
              </w:numPr>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bCs w:val="0"/>
                <w:color w:val="000000"/>
                <w:spacing w:val="6"/>
                <w:szCs w:val="28"/>
                <w:lang w:val="en-US" w:eastAsia="zh-CN"/>
              </w:rPr>
              <w:t>参赛团队可跨专业、跨学校组队</w:t>
            </w:r>
            <w:r>
              <w:rPr>
                <w:rFonts w:hint="eastAsia" w:ascii="仿宋_GB2312" w:hAnsi="仿宋_GB2312" w:eastAsia="仿宋_GB2312" w:cs="仿宋_GB2312"/>
                <w:b w:val="0"/>
                <w:bCs/>
                <w:color w:val="000000"/>
                <w:spacing w:val="6"/>
                <w:szCs w:val="28"/>
                <w:lang w:val="en-US" w:eastAsia="zh-CN"/>
              </w:rPr>
              <w:t>（同一团队成员均需符合赛事参赛对象要求），鼓励设计、管理、金融、法律等多学科背景学生联合参赛，提升方案的全面性与可行性。</w:t>
            </w:r>
          </w:p>
          <w:p w14:paraId="1C46B01A">
            <w:pPr>
              <w:keepNext w:val="0"/>
              <w:keepLines w:val="0"/>
              <w:pageBreakBefore w:val="0"/>
              <w:widowControl w:val="0"/>
              <w:numPr>
                <w:ilvl w:val="0"/>
                <w:numId w:val="3"/>
              </w:numPr>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bCs w:val="0"/>
                <w:color w:val="000000"/>
                <w:spacing w:val="6"/>
                <w:szCs w:val="28"/>
                <w:lang w:val="en-US" w:eastAsia="zh-CN"/>
              </w:rPr>
              <w:t xml:space="preserve"> 提交作品需包含完整项目报告</w:t>
            </w:r>
            <w:r>
              <w:rPr>
                <w:rFonts w:hint="eastAsia" w:ascii="仿宋_GB2312" w:hAnsi="仿宋_GB2312" w:eastAsia="仿宋_GB2312" w:cs="仿宋_GB2312"/>
                <w:b w:val="0"/>
                <w:bCs/>
                <w:color w:val="000000"/>
                <w:spacing w:val="6"/>
                <w:szCs w:val="28"/>
                <w:lang w:val="en-US" w:eastAsia="zh-CN"/>
              </w:rPr>
              <w:t xml:space="preserve">（含文字说明、设计图、经费预算表、体制机制流程图）及PPT演示文件，设计图需明确标注尺寸、材质、功能分区及施工关键节点，预算表需附详细测算依据（如市场询价、政策文件参考等）。 </w:t>
            </w:r>
          </w:p>
          <w:p w14:paraId="6BBACC4D">
            <w:pPr>
              <w:keepNext w:val="0"/>
              <w:keepLines w:val="0"/>
              <w:pageBreakBefore w:val="0"/>
              <w:widowControl w:val="0"/>
              <w:numPr>
                <w:ilvl w:val="0"/>
                <w:numId w:val="3"/>
              </w:numPr>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bCs w:val="0"/>
                <w:color w:val="000000"/>
                <w:spacing w:val="6"/>
                <w:szCs w:val="28"/>
                <w:lang w:val="en-US" w:eastAsia="zh-CN"/>
              </w:rPr>
              <w:t>赛事期间，出题单位将组织线下实地考察</w:t>
            </w:r>
            <w:r>
              <w:rPr>
                <w:rFonts w:hint="eastAsia" w:ascii="仿宋_GB2312" w:hAnsi="仿宋_GB2312" w:eastAsia="仿宋_GB2312" w:cs="仿宋_GB2312"/>
                <w:b w:val="0"/>
                <w:bCs/>
                <w:color w:val="000000"/>
                <w:spacing w:val="6"/>
                <w:szCs w:val="28"/>
                <w:lang w:val="en-US" w:eastAsia="zh-CN"/>
              </w:rPr>
              <w:t xml:space="preserve">（时间另行通知），并开放项目相关基础资料查询通道，参赛团队可通过联系人预约调研或咨询疑问，助力方案贴合实际场景。 </w:t>
            </w:r>
          </w:p>
          <w:p w14:paraId="2E86E8F0">
            <w:pPr>
              <w:keepNext w:val="0"/>
              <w:keepLines w:val="0"/>
              <w:pageBreakBefore w:val="0"/>
              <w:widowControl w:val="0"/>
              <w:numPr>
                <w:ilvl w:val="0"/>
                <w:numId w:val="3"/>
              </w:numPr>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bCs w:val="0"/>
                <w:color w:val="000000"/>
                <w:spacing w:val="6"/>
                <w:szCs w:val="28"/>
                <w:lang w:val="en-US" w:eastAsia="zh-CN"/>
              </w:rPr>
              <w:t>作品需为原创</w:t>
            </w:r>
            <w:r>
              <w:rPr>
                <w:rFonts w:hint="eastAsia" w:ascii="仿宋_GB2312" w:hAnsi="仿宋_GB2312" w:eastAsia="仿宋_GB2312" w:cs="仿宋_GB2312"/>
                <w:b w:val="0"/>
                <w:bCs/>
                <w:color w:val="000000"/>
                <w:spacing w:val="6"/>
                <w:szCs w:val="28"/>
                <w:lang w:val="en-US" w:eastAsia="zh-CN"/>
              </w:rPr>
              <w:t xml:space="preserve">，严禁抄袭、剽窃他人成果，一经发现取消参赛资格；参赛团队需对作品知识产权负责，若因版权问题产生纠纷，由参赛团队自行承担相关责任。 </w:t>
            </w:r>
          </w:p>
          <w:p w14:paraId="1D2A6863">
            <w:pPr>
              <w:keepNext w:val="0"/>
              <w:keepLines w:val="0"/>
              <w:pageBreakBefore w:val="0"/>
              <w:widowControl w:val="0"/>
              <w:numPr>
                <w:ilvl w:val="0"/>
                <w:numId w:val="3"/>
              </w:numPr>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bCs w:val="0"/>
                <w:color w:val="000000"/>
                <w:spacing w:val="6"/>
                <w:szCs w:val="28"/>
                <w:lang w:val="en-US" w:eastAsia="zh-CN"/>
              </w:rPr>
              <w:t>揭榜阶段截止日期以赛事组委会正式通知为准</w:t>
            </w:r>
            <w:r>
              <w:rPr>
                <w:rFonts w:hint="eastAsia" w:ascii="仿宋_GB2312" w:hAnsi="仿宋_GB2312" w:eastAsia="仿宋_GB2312" w:cs="仿宋_GB2312"/>
                <w:b w:val="0"/>
                <w:bCs/>
                <w:color w:val="000000"/>
                <w:spacing w:val="6"/>
                <w:szCs w:val="28"/>
                <w:lang w:val="en-US" w:eastAsia="zh-CN"/>
              </w:rPr>
              <w:t>，逾期提交的电子版及纸质版材料均视为无效，建议参赛团队提前3个工作日完成材料准备与提交。</w:t>
            </w:r>
          </w:p>
          <w:p w14:paraId="767C35A3">
            <w:pPr>
              <w:keepNext w:val="0"/>
              <w:keepLines w:val="0"/>
              <w:pageBreakBefore w:val="0"/>
              <w:widowControl w:val="0"/>
              <w:numPr>
                <w:ilvl w:val="0"/>
                <w:numId w:val="3"/>
              </w:numPr>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bCs w:val="0"/>
                <w:color w:val="000000"/>
                <w:spacing w:val="6"/>
                <w:szCs w:val="28"/>
                <w:lang w:val="en-US" w:eastAsia="zh-CN"/>
              </w:rPr>
              <w:t>方案中的经费预算需控制在合理区间</w:t>
            </w:r>
            <w:r>
              <w:rPr>
                <w:rFonts w:hint="eastAsia" w:ascii="仿宋_GB2312" w:hAnsi="仿宋_GB2312" w:eastAsia="仿宋_GB2312" w:cs="仿宋_GB2312"/>
                <w:b w:val="0"/>
                <w:bCs/>
                <w:color w:val="000000"/>
                <w:spacing w:val="6"/>
                <w:szCs w:val="28"/>
                <w:lang w:val="en-US" w:eastAsia="zh-CN"/>
              </w:rPr>
              <w:t xml:space="preserve">，优先考虑性价比与可执行性，避免过度追求高端设计导致预算超支，出题单位将结合实际情况对预算合理性进行重点评审。 </w:t>
            </w:r>
          </w:p>
        </w:tc>
      </w:tr>
    </w:tbl>
    <w:p w14:paraId="6DB42254">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4A2DFC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F5B3828">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9B67081">
            <w:pPr>
              <w:keepNext w:val="0"/>
              <w:keepLines w:val="0"/>
              <w:pageBreakBefore w:val="0"/>
              <w:widowControl w:val="0"/>
              <w:kinsoku/>
              <w:wordWrap w:val="0"/>
              <w:topLinePunct w:val="0"/>
              <w:autoSpaceDE/>
              <w:autoSpaceDN/>
              <w:bidi w:val="0"/>
              <w:adjustRightInd w:val="0"/>
              <w:snapToGrid w:val="0"/>
              <w:ind w:firstLine="480" w:firstLineChars="200"/>
              <w:jc w:val="both"/>
              <w:rPr>
                <w:rFonts w:hint="eastAsia" w:ascii="仿宋_GB2312" w:hAnsi="仿宋_GB2312" w:eastAsia="仿宋_GB2312" w:cs="仿宋_GB2312"/>
                <w:b w:val="0"/>
                <w:bCs/>
                <w:color w:val="000000"/>
                <w:spacing w:val="6"/>
                <w:szCs w:val="28"/>
                <w:lang w:val="en-US" w:eastAsia="zh-CN"/>
              </w:rPr>
            </w:pPr>
            <w:r>
              <w:rPr>
                <w:rFonts w:ascii="Symbol" w:hAnsi="Symbol" w:eastAsia="Symbol" w:cs="Symbol"/>
                <w:sz w:val="24"/>
              </w:rPr>
              <w:t>·</w:t>
            </w:r>
            <w:r>
              <w:rPr>
                <w:rFonts w:hint="eastAsia" w:ascii="仿宋_GB2312" w:hAnsi="仿宋_GB2312" w:eastAsia="仿宋_GB2312" w:cs="仿宋_GB2312"/>
                <w:b/>
                <w:bCs w:val="0"/>
                <w:color w:val="000000"/>
                <w:spacing w:val="6"/>
                <w:szCs w:val="28"/>
                <w:lang w:val="en-US" w:eastAsia="zh-CN"/>
              </w:rPr>
              <w:t>实地调研与场景开放：</w:t>
            </w:r>
            <w:r>
              <w:rPr>
                <w:rFonts w:hint="eastAsia" w:ascii="仿宋_GB2312" w:hAnsi="仿宋_GB2312" w:eastAsia="仿宋_GB2312" w:cs="仿宋_GB2312"/>
                <w:b w:val="0"/>
                <w:bCs/>
                <w:color w:val="000000"/>
                <w:spacing w:val="6"/>
                <w:szCs w:val="28"/>
                <w:lang w:val="en-US" w:eastAsia="zh-CN"/>
              </w:rPr>
              <w:t>组织参赛团队赴和平街街道和美会客厅开展线下实地考察，开放现有场地空间、基础设施及周边环境资源，安排街道工作人员现场讲解项目背景、功能需求及场地限制条件。</w:t>
            </w:r>
          </w:p>
          <w:p w14:paraId="07552AA1">
            <w:pPr>
              <w:keepNext w:val="0"/>
              <w:keepLines w:val="0"/>
              <w:pageBreakBefore w:val="0"/>
              <w:widowControl w:val="0"/>
              <w:kinsoku/>
              <w:wordWrap w:val="0"/>
              <w:topLinePunct w:val="0"/>
              <w:autoSpaceDE/>
              <w:autoSpaceDN/>
              <w:bidi w:val="0"/>
              <w:adjustRightInd w:val="0"/>
              <w:snapToGrid w:val="0"/>
              <w:ind w:firstLine="480" w:firstLineChars="200"/>
              <w:jc w:val="both"/>
              <w:rPr>
                <w:rFonts w:hint="eastAsia" w:ascii="仿宋_GB2312" w:hAnsi="仿宋_GB2312" w:eastAsia="仿宋_GB2312" w:cs="仿宋_GB2312"/>
                <w:b w:val="0"/>
                <w:bCs/>
                <w:color w:val="000000"/>
                <w:spacing w:val="6"/>
                <w:szCs w:val="28"/>
                <w:lang w:val="en-US" w:eastAsia="zh-CN"/>
              </w:rPr>
            </w:pPr>
            <w:r>
              <w:rPr>
                <w:rFonts w:ascii="Symbol" w:hAnsi="Symbol" w:eastAsia="Symbol" w:cs="Symbol"/>
                <w:b/>
                <w:bCs/>
                <w:sz w:val="24"/>
              </w:rPr>
              <w:t>·</w:t>
            </w:r>
            <w:r>
              <w:rPr>
                <w:rFonts w:hint="eastAsia" w:ascii="仿宋_GB2312" w:hAnsi="仿宋_GB2312" w:eastAsia="仿宋_GB2312" w:cs="仿宋_GB2312"/>
                <w:b/>
                <w:bCs/>
                <w:color w:val="000000"/>
                <w:spacing w:val="6"/>
                <w:szCs w:val="28"/>
                <w:lang w:val="en-US" w:eastAsia="zh-CN"/>
              </w:rPr>
              <w:t>沟通对接机制</w:t>
            </w:r>
            <w:r>
              <w:rPr>
                <w:rFonts w:hint="eastAsia" w:ascii="仿宋_GB2312" w:hAnsi="仿宋_GB2312" w:eastAsia="仿宋_GB2312" w:cs="仿宋_GB2312"/>
                <w:b w:val="0"/>
                <w:bCs/>
                <w:color w:val="000000"/>
                <w:spacing w:val="6"/>
                <w:szCs w:val="28"/>
                <w:lang w:val="en-US" w:eastAsia="zh-CN"/>
              </w:rPr>
              <w:t>：指定专人作为参赛团队专属联络人，与参赛团队保持常态化沟通，及时解答赛事相关疑问协调对接场地资源及街道相关业务科室，确保沟通渠道畅通。</w:t>
            </w:r>
          </w:p>
        </w:tc>
      </w:tr>
      <w:tr w14:paraId="06AA5A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238"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D1791B6">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D40EAD9">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一、奖项设置</w:t>
            </w:r>
          </w:p>
          <w:p w14:paraId="46EF3CC1">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原则上设“擂主”团队1个，根据实际情况评出相应的特等奖、一等奖、二等奖、三等奖项目若干。</w:t>
            </w:r>
          </w:p>
          <w:p w14:paraId="59D22D4B">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二、激励措施</w:t>
            </w:r>
          </w:p>
          <w:p w14:paraId="783A9C46">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优秀项目可获得发榜单位所印发的获奖证书并参与后期项目落地。本单位可为获奖者提供实习实践机会，推荐辖区内就业岗位。</w:t>
            </w:r>
          </w:p>
        </w:tc>
      </w:tr>
    </w:tbl>
    <w:p w14:paraId="03E45A9A">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2CE4E9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D57A090">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708D9">
            <w:pPr>
              <w:adjustRightInd w:val="0"/>
              <w:snapToGrid w:val="0"/>
              <w:ind w:firstLine="480" w:firstLineChars="200"/>
              <w:jc w:val="both"/>
              <w:rPr>
                <w:rFonts w:hint="eastAsia" w:ascii="仿宋_GB2312" w:hAnsi="仿宋_GB2312" w:eastAsia="仿宋_GB2312" w:cs="仿宋_GB2312"/>
                <w:b w:val="0"/>
                <w:bCs/>
                <w:color w:val="000000"/>
                <w:spacing w:val="6"/>
                <w:szCs w:val="28"/>
                <w:lang w:val="en-US" w:eastAsia="zh-CN"/>
              </w:rPr>
            </w:pPr>
            <w:r>
              <w:rPr>
                <w:rFonts w:ascii="Symbol" w:hAnsi="Symbol" w:eastAsia="Symbol" w:cs="Symbol"/>
                <w:b/>
                <w:bCs/>
                <w:sz w:val="24"/>
              </w:rPr>
              <w:t>·</w:t>
            </w:r>
            <w:r>
              <w:rPr>
                <w:rFonts w:hint="eastAsia" w:ascii="仿宋_GB2312" w:hAnsi="仿宋_GB2312" w:eastAsia="仿宋_GB2312" w:cs="仿宋_GB2312"/>
                <w:b/>
                <w:bCs/>
                <w:color w:val="000000"/>
                <w:spacing w:val="6"/>
                <w:szCs w:val="28"/>
                <w:lang w:val="en-US" w:eastAsia="zh-CN"/>
              </w:rPr>
              <w:t>针对基层党群服务综合体</w:t>
            </w:r>
            <w:r>
              <w:rPr>
                <w:rFonts w:hint="eastAsia" w:ascii="仿宋_GB2312" w:hAnsi="仿宋_GB2312" w:eastAsia="仿宋_GB2312" w:cs="仿宋_GB2312"/>
                <w:b w:val="0"/>
                <w:bCs/>
                <w:color w:val="000000"/>
                <w:spacing w:val="6"/>
                <w:szCs w:val="28"/>
                <w:lang w:val="en-US" w:eastAsia="zh-CN"/>
              </w:rPr>
              <w:t>“功能融合不足、空间利用低效、孵化体系不健全” 等现实问题，探索文化设计与空间运用的创新技术路径，为同类公共服务载体的功能升级提供可复制、可推广的技术方案，突破传统公共空间 “单一功能、设计脱节实际” 的发展瓶颈。</w:t>
            </w:r>
          </w:p>
          <w:p w14:paraId="2F71EAAF">
            <w:pPr>
              <w:adjustRightInd w:val="0"/>
              <w:snapToGrid w:val="0"/>
              <w:ind w:firstLine="480" w:firstLineChars="200"/>
              <w:jc w:val="both"/>
              <w:rPr>
                <w:rFonts w:hint="eastAsia" w:ascii="仿宋_GB2312" w:hAnsi="仿宋_GB2312" w:eastAsia="仿宋_GB2312" w:cs="仿宋_GB2312"/>
                <w:b w:val="0"/>
                <w:bCs/>
                <w:color w:val="000000"/>
                <w:spacing w:val="6"/>
                <w:szCs w:val="28"/>
                <w:lang w:val="en-US" w:eastAsia="zh-CN"/>
              </w:rPr>
            </w:pPr>
            <w:r>
              <w:rPr>
                <w:rFonts w:ascii="Symbol" w:hAnsi="Symbol" w:eastAsia="Symbol" w:cs="Symbol"/>
                <w:b/>
                <w:bCs/>
                <w:sz w:val="24"/>
              </w:rPr>
              <w:t>·</w:t>
            </w:r>
            <w:r>
              <w:rPr>
                <w:rFonts w:hint="eastAsia" w:ascii="仿宋_GB2312" w:hAnsi="仿宋_GB2312" w:eastAsia="仿宋_GB2312" w:cs="仿宋_GB2312"/>
                <w:b/>
                <w:bCs/>
                <w:color w:val="000000"/>
                <w:spacing w:val="6"/>
                <w:szCs w:val="28"/>
                <w:lang w:val="en-US" w:eastAsia="zh-CN"/>
              </w:rPr>
              <w:t>推动</w:t>
            </w:r>
            <w:r>
              <w:rPr>
                <w:rFonts w:hint="eastAsia" w:ascii="仿宋_GB2312" w:hAnsi="仿宋_GB2312" w:eastAsia="仿宋_GB2312" w:cs="仿宋_GB2312"/>
                <w:b w:val="0"/>
                <w:bCs/>
                <w:color w:val="000000"/>
                <w:spacing w:val="6"/>
                <w:szCs w:val="28"/>
                <w:lang w:val="en-US" w:eastAsia="zh-CN"/>
              </w:rPr>
              <w:t>“高校学科优势 + 基层治理需求” 的技术融合创新，将设计学、管理学、创业学等多学科技术方法与基层实际需求结合，研发适配街道级孵化载体的运营管理技术体系，助力解决基层创新创业服务 “最后一公里” 技术适配难题。</w:t>
            </w:r>
          </w:p>
          <w:p w14:paraId="640E6627">
            <w:pPr>
              <w:adjustRightInd w:val="0"/>
              <w:snapToGrid w:val="0"/>
              <w:ind w:firstLine="480" w:firstLineChars="200"/>
              <w:jc w:val="both"/>
              <w:rPr>
                <w:rFonts w:hint="eastAsia" w:ascii="仿宋_GB2312" w:hAnsi="仿宋_GB2312" w:eastAsia="仿宋_GB2312" w:cs="仿宋_GB2312"/>
                <w:b w:val="0"/>
                <w:bCs/>
                <w:color w:val="000000"/>
                <w:spacing w:val="6"/>
                <w:szCs w:val="28"/>
                <w:u w:val="none"/>
              </w:rPr>
            </w:pPr>
            <w:r>
              <w:rPr>
                <w:rFonts w:ascii="Symbol" w:hAnsi="Symbol" w:eastAsia="Symbol" w:cs="Symbol"/>
                <w:b/>
                <w:bCs/>
                <w:sz w:val="24"/>
              </w:rPr>
              <w:t>·</w:t>
            </w:r>
            <w:r>
              <w:rPr>
                <w:rFonts w:hint="eastAsia" w:ascii="仿宋_GB2312" w:hAnsi="仿宋_GB2312" w:eastAsia="仿宋_GB2312" w:cs="仿宋_GB2312"/>
                <w:b/>
                <w:bCs/>
                <w:color w:val="000000"/>
                <w:spacing w:val="6"/>
                <w:szCs w:val="28"/>
                <w:lang w:val="en-US" w:eastAsia="zh-CN"/>
              </w:rPr>
              <w:t>探索</w:t>
            </w:r>
            <w:r>
              <w:rPr>
                <w:rFonts w:hint="eastAsia" w:ascii="仿宋_GB2312" w:hAnsi="仿宋_GB2312" w:eastAsia="仿宋_GB2312" w:cs="仿宋_GB2312"/>
                <w:b w:val="0"/>
                <w:bCs/>
                <w:color w:val="000000"/>
                <w:spacing w:val="6"/>
                <w:szCs w:val="28"/>
                <w:lang w:val="en-US" w:eastAsia="zh-CN"/>
              </w:rPr>
              <w:t>“智能技术 + 公共服务” 的轻量化应用模式，在空间设计中融入低成本、易落地的智慧化解决方案，为超大城市基层治理场景的智慧化升级提供接地气、可操作的技术参考。</w:t>
            </w:r>
          </w:p>
        </w:tc>
      </w:tr>
      <w:tr w14:paraId="6F6E6C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B6E98">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D6254">
            <w:pPr>
              <w:overflowPunct w:val="0"/>
              <w:adjustRightInd w:val="0"/>
              <w:snapToGrid w:val="0"/>
              <w:ind w:firstLine="506"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bCs w:val="0"/>
                <w:color w:val="000000"/>
                <w:spacing w:val="6"/>
                <w:szCs w:val="28"/>
                <w:lang w:val="en-US" w:eastAsia="zh-CN"/>
              </w:rPr>
              <w:t>经济效益：</w:t>
            </w:r>
            <w:r>
              <w:rPr>
                <w:rFonts w:hint="eastAsia" w:ascii="仿宋_GB2312" w:hAnsi="仿宋_GB2312" w:eastAsia="仿宋_GB2312" w:cs="仿宋_GB2312"/>
                <w:b w:val="0"/>
                <w:bCs/>
                <w:color w:val="000000"/>
                <w:spacing w:val="6"/>
                <w:szCs w:val="28"/>
                <w:lang w:val="en-US" w:eastAsia="zh-CN"/>
              </w:rPr>
              <w:t xml:space="preserve">优化和美会客厅空间资源配置与运营效率，带动高校科研成果转化落地，为街道培育新的经济增长点，进一步优化街道营商环境，提升辖区产业竞争力。 </w:t>
            </w:r>
          </w:p>
          <w:p w14:paraId="6A7CC6F2">
            <w:pPr>
              <w:overflowPunct w:val="0"/>
              <w:adjustRightInd w:val="0"/>
              <w:snapToGrid w:val="0"/>
              <w:ind w:firstLine="506"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bCs w:val="0"/>
                <w:color w:val="000000"/>
                <w:spacing w:val="6"/>
                <w:szCs w:val="28"/>
                <w:lang w:val="en-US" w:eastAsia="zh-CN"/>
              </w:rPr>
              <w:t>社会效益：</w:t>
            </w:r>
            <w:r>
              <w:rPr>
                <w:rFonts w:hint="eastAsia" w:ascii="仿宋_GB2312" w:hAnsi="仿宋_GB2312" w:eastAsia="仿宋_GB2312" w:cs="仿宋_GB2312"/>
                <w:b w:val="0"/>
                <w:bCs/>
                <w:color w:val="000000"/>
                <w:spacing w:val="6"/>
                <w:szCs w:val="28"/>
                <w:lang w:val="en-US" w:eastAsia="zh-CN"/>
              </w:rPr>
              <w:t>深化党建引领基层治理创新，为大学生提供创新创业实战平台，促进优质人才留京留区就业创业；通过会客厅多功能融合运营，推动校街企社多方联动，构建共建共治共享的基层治理新格局。</w:t>
            </w:r>
          </w:p>
        </w:tc>
      </w:tr>
    </w:tbl>
    <w:p w14:paraId="4C6D1684">
      <w:pPr>
        <w:keepNext w:val="0"/>
        <w:keepLines w:val="0"/>
        <w:pageBreakBefore w:val="0"/>
        <w:widowControl w:val="0"/>
        <w:kinsoku/>
        <w:wordWrap w:val="0"/>
        <w:topLinePunct w:val="0"/>
        <w:autoSpaceDE/>
        <w:autoSpaceDN/>
        <w:bidi w:val="0"/>
        <w:rPr>
          <w:rFonts w:hint="eastAsia"/>
          <w:lang w:val="en-US" w:eastAsia="zh-CN"/>
        </w:rPr>
      </w:pPr>
      <w:r>
        <w:rPr>
          <w:rFonts w:hint="eastAsia"/>
          <w:lang w:val="en-US" w:eastAsia="zh-CN"/>
        </w:rPr>
        <w:br w:type="page"/>
      </w:r>
    </w:p>
    <w:p w14:paraId="7490535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6DAEF183">
      <w:pPr>
        <w:widowControl w:val="0"/>
        <w:tabs>
          <w:tab w:val="left" w:pos="8640"/>
        </w:tabs>
        <w:adjustRightInd w:val="0"/>
        <w:snapToGrid w:val="0"/>
        <w:spacing w:line="560" w:lineRule="exact"/>
        <w:jc w:val="center"/>
        <w:rPr>
          <w:rFonts w:hint="eastAsia"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—08</w:t>
      </w:r>
    </w:p>
    <w:p w14:paraId="363D638A">
      <w:pPr>
        <w:keepNext w:val="0"/>
        <w:keepLines w:val="0"/>
        <w:pageBreakBefore w:val="0"/>
        <w:widowControl w:val="0"/>
        <w:tabs>
          <w:tab w:val="left" w:pos="8640"/>
        </w:tabs>
        <w:kinsoku/>
        <w:wordWrap w:val="0"/>
        <w:overflowPunct/>
        <w:topLinePunct w:val="0"/>
        <w:autoSpaceDE/>
        <w:autoSpaceDN/>
        <w:bidi w:val="0"/>
        <w:adjustRightInd w:val="0"/>
        <w:snapToGrid w:val="0"/>
        <w:spacing w:line="240" w:lineRule="auto"/>
        <w:textAlignment w:val="auto"/>
        <w:rPr>
          <w:rFonts w:ascii="方正黑体简体" w:eastAsia="方正黑体简体"/>
          <w:bCs/>
          <w:color w:val="auto"/>
          <w:spacing w:val="6"/>
          <w:sz w:val="21"/>
          <w:szCs w:val="21"/>
        </w:rPr>
      </w:pPr>
    </w:p>
    <w:p w14:paraId="4DE9C02A">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0429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8C2830F">
            <w:pPr>
              <w:keepNext w:val="0"/>
              <w:keepLines w:val="0"/>
              <w:pageBreakBefore w:val="0"/>
              <w:widowControl w:val="0"/>
              <w:kinsoku/>
              <w:wordWrap w:val="0"/>
              <w:topLinePunct w:val="0"/>
              <w:autoSpaceDE/>
              <w:autoSpaceDN/>
              <w:bidi w:val="0"/>
              <w:adjustRightInd w:val="0"/>
              <w:spacing w:line="560" w:lineRule="exact"/>
              <w:jc w:val="center"/>
              <w:rPr>
                <w:rFonts w:hint="default" w:ascii="Times New Roman" w:hAnsi="Times New Roman" w:eastAsia="楷体_GB2312" w:cs="Times New Roman"/>
                <w:color w:val="auto"/>
                <w:sz w:val="28"/>
                <w:szCs w:val="32"/>
              </w:rPr>
            </w:pPr>
            <w:r>
              <w:rPr>
                <w:rFonts w:hint="default" w:ascii="Times New Roman" w:hAnsi="Times New Roman" w:eastAsia="楷体_GB2312" w:cs="Times New Roman"/>
                <w:color w:val="auto"/>
                <w:sz w:val="28"/>
                <w:szCs w:val="32"/>
              </w:rPr>
              <w:t>单位名称</w:t>
            </w:r>
          </w:p>
        </w:tc>
        <w:tc>
          <w:tcPr>
            <w:tcW w:w="6932" w:type="dxa"/>
            <w:gridSpan w:val="3"/>
            <w:vAlign w:val="center"/>
          </w:tcPr>
          <w:p w14:paraId="44ED4ED1">
            <w:pPr>
              <w:keepNext w:val="0"/>
              <w:keepLines w:val="0"/>
              <w:pageBreakBefore w:val="0"/>
              <w:widowControl w:val="0"/>
              <w:kinsoku/>
              <w:wordWrap w:val="0"/>
              <w:topLinePunct w:val="0"/>
              <w:autoSpaceDE/>
              <w:autoSpaceDN/>
              <w:bidi w:val="0"/>
              <w:adjustRightInd w:val="0"/>
              <w:snapToGrid w:val="0"/>
              <w:jc w:val="center"/>
              <w:rPr>
                <w:rFonts w:hint="default" w:ascii="Times New Roman" w:hAnsi="Times New Roman" w:eastAsia="仿宋_GB2312" w:cs="Times New Roman"/>
                <w:color w:val="auto"/>
              </w:rPr>
            </w:pPr>
            <w:r>
              <w:rPr>
                <w:rFonts w:hint="default" w:ascii="Times New Roman" w:hAnsi="Times New Roman" w:eastAsia="仿宋_GB2312" w:cs="Times New Roman"/>
                <w:bCs/>
                <w:color w:val="auto"/>
                <w:spacing w:val="6"/>
                <w:szCs w:val="28"/>
                <w:lang w:val="en-US" w:eastAsia="zh-CN"/>
              </w:rPr>
              <w:t>北京市朝阳区人民政府首都机场街道办事处</w:t>
            </w:r>
          </w:p>
        </w:tc>
      </w:tr>
      <w:tr w14:paraId="5117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4D2A170">
            <w:pPr>
              <w:keepNext w:val="0"/>
              <w:keepLines w:val="0"/>
              <w:pageBreakBefore w:val="0"/>
              <w:widowControl w:val="0"/>
              <w:kinsoku/>
              <w:wordWrap w:val="0"/>
              <w:topLinePunct w:val="0"/>
              <w:autoSpaceDE/>
              <w:autoSpaceDN/>
              <w:bidi w:val="0"/>
              <w:adjustRightInd w:val="0"/>
              <w:snapToGrid w:val="0"/>
              <w:jc w:val="center"/>
              <w:rPr>
                <w:rFonts w:hint="default" w:ascii="Times New Roman" w:hAnsi="Times New Roman" w:eastAsia="楷体_GB2312" w:cs="Times New Roman"/>
                <w:bCs/>
                <w:color w:val="auto"/>
                <w:spacing w:val="6"/>
                <w:szCs w:val="28"/>
                <w:lang w:val="en-US"/>
              </w:rPr>
            </w:pPr>
            <w:r>
              <w:rPr>
                <w:rFonts w:hint="default" w:ascii="Times New Roman" w:hAnsi="Times New Roman" w:eastAsia="楷体_GB2312" w:cs="Times New Roman"/>
                <w:color w:val="auto"/>
                <w:sz w:val="28"/>
                <w:szCs w:val="32"/>
                <w:lang w:val="en-US"/>
              </w:rPr>
              <w:t>单位类型</w:t>
            </w:r>
          </w:p>
        </w:tc>
        <w:tc>
          <w:tcPr>
            <w:tcW w:w="6932" w:type="dxa"/>
            <w:gridSpan w:val="3"/>
            <w:vAlign w:val="center"/>
          </w:tcPr>
          <w:p w14:paraId="7AE5E043">
            <w:pPr>
              <w:keepNext w:val="0"/>
              <w:keepLines w:val="0"/>
              <w:pageBreakBefore w:val="0"/>
              <w:widowControl w:val="0"/>
              <w:kinsoku/>
              <w:wordWrap w:val="0"/>
              <w:topLinePunct w:val="0"/>
              <w:autoSpaceDE/>
              <w:autoSpaceDN/>
              <w:bidi w:val="0"/>
              <w:adjustRightInd w:val="0"/>
              <w:snapToGrid w:val="0"/>
              <w:jc w:val="center"/>
              <w:rPr>
                <w:rFonts w:hint="default" w:ascii="Times New Roman" w:hAnsi="Times New Roman" w:eastAsia="仿宋_GB2312" w:cs="Times New Roman"/>
                <w:bCs/>
                <w:color w:val="auto"/>
                <w:spacing w:val="6"/>
                <w:szCs w:val="28"/>
                <w:lang w:val="en-US"/>
              </w:rPr>
            </w:pPr>
            <w:r>
              <w:rPr>
                <w:rFonts w:hint="default" w:ascii="Times New Roman" w:hAnsi="Times New Roman" w:eastAsia="仿宋_GB2312" w:cs="Times New Roman"/>
                <w:bCs/>
                <w:color w:val="auto"/>
                <w:spacing w:val="6"/>
                <w:szCs w:val="28"/>
                <w:lang w:val="en-US"/>
              </w:rPr>
              <w:t>街道乡镇</w:t>
            </w:r>
          </w:p>
        </w:tc>
      </w:tr>
      <w:tr w14:paraId="0C87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2F8AE2D6">
            <w:pPr>
              <w:keepNext w:val="0"/>
              <w:keepLines w:val="0"/>
              <w:pageBreakBefore w:val="0"/>
              <w:widowControl w:val="0"/>
              <w:kinsoku/>
              <w:wordWrap w:val="0"/>
              <w:topLinePunct w:val="0"/>
              <w:autoSpaceDE/>
              <w:autoSpaceDN/>
              <w:bidi w:val="0"/>
              <w:adjustRightInd w:val="0"/>
              <w:spacing w:line="560" w:lineRule="exact"/>
              <w:jc w:val="center"/>
              <w:rPr>
                <w:rFonts w:hint="default" w:ascii="Times New Roman" w:hAnsi="Times New Roman" w:eastAsia="楷体_GB2312" w:cs="Times New Roman"/>
                <w:color w:val="auto"/>
                <w:sz w:val="28"/>
                <w:szCs w:val="32"/>
              </w:rPr>
            </w:pPr>
            <w:r>
              <w:rPr>
                <w:rFonts w:hint="default" w:ascii="Times New Roman" w:hAnsi="Times New Roman" w:eastAsia="楷体_GB2312" w:cs="Times New Roman"/>
                <w:color w:val="auto"/>
                <w:sz w:val="28"/>
                <w:szCs w:val="32"/>
              </w:rPr>
              <w:t>地址</w:t>
            </w:r>
          </w:p>
        </w:tc>
        <w:tc>
          <w:tcPr>
            <w:tcW w:w="6932" w:type="dxa"/>
            <w:gridSpan w:val="3"/>
            <w:vAlign w:val="center"/>
          </w:tcPr>
          <w:p w14:paraId="5F17496D">
            <w:pPr>
              <w:keepNext w:val="0"/>
              <w:keepLines w:val="0"/>
              <w:pageBreakBefore w:val="0"/>
              <w:widowControl w:val="0"/>
              <w:kinsoku/>
              <w:wordWrap w:val="0"/>
              <w:topLinePunct w:val="0"/>
              <w:autoSpaceDE/>
              <w:autoSpaceDN/>
              <w:bidi w:val="0"/>
              <w:adjustRightInd w:val="0"/>
              <w:jc w:val="center"/>
              <w:rPr>
                <w:rFonts w:hint="default" w:ascii="Times New Roman" w:hAnsi="Times New Roman" w:eastAsia="仿宋_GB2312" w:cs="Times New Roman"/>
                <w:color w:val="auto"/>
              </w:rPr>
            </w:pPr>
            <w:r>
              <w:rPr>
                <w:rFonts w:hint="default" w:ascii="Times New Roman" w:hAnsi="Times New Roman" w:eastAsia="仿宋_GB2312" w:cs="Times New Roman"/>
                <w:color w:val="auto"/>
              </w:rPr>
              <w:t>北京市朝阳区首都机场街道西平街2号</w:t>
            </w:r>
          </w:p>
        </w:tc>
      </w:tr>
      <w:tr w14:paraId="5258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510DF7A2">
            <w:pPr>
              <w:keepNext w:val="0"/>
              <w:keepLines w:val="0"/>
              <w:pageBreakBefore w:val="0"/>
              <w:widowControl w:val="0"/>
              <w:kinsoku/>
              <w:wordWrap w:val="0"/>
              <w:topLinePunct w:val="0"/>
              <w:autoSpaceDE/>
              <w:autoSpaceDN/>
              <w:bidi w:val="0"/>
              <w:adjustRightInd w:val="0"/>
              <w:spacing w:line="560" w:lineRule="exact"/>
              <w:jc w:val="center"/>
              <w:rPr>
                <w:rFonts w:hint="default" w:ascii="Times New Roman" w:hAnsi="Times New Roman" w:eastAsia="楷体_GB2312" w:cs="Times New Roman"/>
                <w:color w:val="auto"/>
                <w:sz w:val="28"/>
                <w:szCs w:val="32"/>
              </w:rPr>
            </w:pPr>
            <w:r>
              <w:rPr>
                <w:rFonts w:hint="default" w:ascii="Times New Roman" w:hAnsi="Times New Roman" w:eastAsia="楷体_GB2312" w:cs="Times New Roman"/>
                <w:color w:val="auto"/>
                <w:sz w:val="28"/>
                <w:szCs w:val="32"/>
                <w:lang w:val="en-US"/>
              </w:rPr>
              <w:t>单位</w:t>
            </w:r>
            <w:r>
              <w:rPr>
                <w:rFonts w:hint="default" w:ascii="Times New Roman" w:hAnsi="Times New Roman" w:eastAsia="楷体_GB2312" w:cs="Times New Roman"/>
                <w:color w:val="auto"/>
                <w:sz w:val="28"/>
                <w:szCs w:val="32"/>
              </w:rPr>
              <w:t>简介</w:t>
            </w:r>
          </w:p>
        </w:tc>
        <w:tc>
          <w:tcPr>
            <w:tcW w:w="6932" w:type="dxa"/>
            <w:gridSpan w:val="3"/>
            <w:vAlign w:val="center"/>
          </w:tcPr>
          <w:p w14:paraId="657C69EC">
            <w:pPr>
              <w:keepNext w:val="0"/>
              <w:keepLines w:val="0"/>
              <w:pageBreakBefore w:val="0"/>
              <w:widowControl w:val="0"/>
              <w:kinsoku/>
              <w:wordWrap w:val="0"/>
              <w:topLinePunct w:val="0"/>
              <w:autoSpaceDE/>
              <w:autoSpaceDN/>
              <w:bidi w:val="0"/>
              <w:adjustRightInd w:val="0"/>
              <w:ind w:firstLine="504" w:firstLineChars="200"/>
              <w:jc w:val="left"/>
              <w:rPr>
                <w:rFonts w:hint="default" w:ascii="Times New Roman" w:hAnsi="Times New Roman" w:eastAsia="仿宋_GB2312" w:cs="Times New Roman"/>
                <w:bCs/>
                <w:color w:val="auto"/>
                <w:spacing w:val="6"/>
                <w:szCs w:val="28"/>
                <w:lang w:val="en-US"/>
              </w:rPr>
            </w:pPr>
            <w:r>
              <w:rPr>
                <w:rFonts w:hint="default" w:ascii="Times New Roman" w:hAnsi="Times New Roman" w:eastAsia="仿宋_GB2312" w:cs="Times New Roman"/>
                <w:bCs/>
                <w:color w:val="auto"/>
                <w:spacing w:val="6"/>
                <w:szCs w:val="28"/>
                <w:lang w:val="en-US" w:eastAsia="zh-CN"/>
              </w:rPr>
              <w:t>机场街道位于朝阳区东北部，坐落在顺义区境内，是朝阳区的一块“飞地”，面积12.23平方公里，分为工作区和生活区两个部分。辖区内国有企事业单位林立，有民航华北局、边检总站、华北空管局等中央垂直管理单位，有重点站区管委会、口岸办等市级单位，还有中航集团、机场集团等大型央企。为有效整合区域资源，破解治理难题，首都机场街道成立党建协调委员会，现共有成员单位25家，推动形成共建共治共享的基层治理新格局。</w:t>
            </w:r>
          </w:p>
        </w:tc>
      </w:tr>
      <w:tr w14:paraId="5CE8A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2E088D23">
            <w:pPr>
              <w:keepNext w:val="0"/>
              <w:keepLines w:val="0"/>
              <w:pageBreakBefore w:val="0"/>
              <w:widowControl w:val="0"/>
              <w:kinsoku/>
              <w:wordWrap w:val="0"/>
              <w:topLinePunct w:val="0"/>
              <w:autoSpaceDE/>
              <w:autoSpaceDN/>
              <w:bidi w:val="0"/>
              <w:adjustRightInd w:val="0"/>
              <w:snapToGrid w:val="0"/>
              <w:ind w:firstLine="280" w:firstLineChars="100"/>
              <w:jc w:val="both"/>
              <w:rPr>
                <w:rFonts w:hint="default" w:ascii="Times New Roman" w:hAnsi="Times New Roman" w:eastAsia="楷体_GB2312" w:cs="Times New Roman"/>
                <w:bCs/>
                <w:color w:val="auto"/>
                <w:spacing w:val="6"/>
                <w:szCs w:val="28"/>
              </w:rPr>
            </w:pPr>
            <w:r>
              <w:rPr>
                <w:rFonts w:hint="default" w:ascii="Times New Roman" w:hAnsi="Times New Roman" w:eastAsia="楷体_GB2312" w:cs="Times New Roman"/>
                <w:color w:val="auto"/>
                <w:sz w:val="28"/>
                <w:szCs w:val="32"/>
                <w:lang w:val="en-US"/>
              </w:rPr>
              <w:t>联系人</w:t>
            </w:r>
          </w:p>
        </w:tc>
        <w:tc>
          <w:tcPr>
            <w:tcW w:w="3076" w:type="dxa"/>
            <w:vAlign w:val="center"/>
          </w:tcPr>
          <w:p w14:paraId="42081E12">
            <w:pPr>
              <w:keepNext w:val="0"/>
              <w:keepLines w:val="0"/>
              <w:pageBreakBefore w:val="0"/>
              <w:widowControl w:val="0"/>
              <w:kinsoku/>
              <w:wordWrap w:val="0"/>
              <w:topLinePunct w:val="0"/>
              <w:autoSpaceDE/>
              <w:autoSpaceDN/>
              <w:bidi w:val="0"/>
              <w:adjustRightInd w:val="0"/>
              <w:snapToGrid w:val="0"/>
              <w:jc w:val="center"/>
              <w:rPr>
                <w:rFonts w:hint="default" w:ascii="Times New Roman" w:hAnsi="Times New Roman" w:eastAsia="仿宋_GB2312" w:cs="Times New Roman"/>
                <w:bCs/>
                <w:color w:val="auto"/>
                <w:spacing w:val="6"/>
                <w:szCs w:val="28"/>
                <w:lang w:val="en-US" w:eastAsia="zh-CN"/>
              </w:rPr>
            </w:pPr>
            <w:r>
              <w:rPr>
                <w:rFonts w:hint="default" w:ascii="Times New Roman" w:hAnsi="Times New Roman" w:eastAsia="仿宋_GB2312" w:cs="Times New Roman"/>
                <w:bCs/>
                <w:color w:val="auto"/>
                <w:spacing w:val="6"/>
                <w:szCs w:val="28"/>
                <w:lang w:val="en-US" w:eastAsia="zh-CN"/>
              </w:rPr>
              <w:t>赵老师</w:t>
            </w:r>
          </w:p>
        </w:tc>
        <w:tc>
          <w:tcPr>
            <w:tcW w:w="1073" w:type="dxa"/>
            <w:vAlign w:val="center"/>
          </w:tcPr>
          <w:p w14:paraId="52896947">
            <w:pPr>
              <w:keepNext w:val="0"/>
              <w:keepLines w:val="0"/>
              <w:pageBreakBefore w:val="0"/>
              <w:widowControl w:val="0"/>
              <w:kinsoku/>
              <w:wordWrap w:val="0"/>
              <w:topLinePunct w:val="0"/>
              <w:autoSpaceDE/>
              <w:autoSpaceDN/>
              <w:bidi w:val="0"/>
              <w:adjustRightInd w:val="0"/>
              <w:spacing w:line="560" w:lineRule="exact"/>
              <w:jc w:val="center"/>
              <w:rPr>
                <w:rFonts w:hint="default" w:ascii="Times New Roman" w:hAnsi="Times New Roman" w:eastAsia="楷体_GB2312" w:cs="Times New Roman"/>
                <w:color w:val="auto"/>
                <w:sz w:val="28"/>
                <w:szCs w:val="32"/>
              </w:rPr>
            </w:pPr>
            <w:r>
              <w:rPr>
                <w:rFonts w:hint="default" w:ascii="Times New Roman" w:hAnsi="Times New Roman" w:eastAsia="楷体_GB2312" w:cs="Times New Roman"/>
                <w:color w:val="auto"/>
                <w:sz w:val="28"/>
                <w:szCs w:val="28"/>
              </w:rPr>
              <w:t>职务</w:t>
            </w:r>
          </w:p>
        </w:tc>
        <w:tc>
          <w:tcPr>
            <w:tcW w:w="2783" w:type="dxa"/>
            <w:vAlign w:val="center"/>
          </w:tcPr>
          <w:p w14:paraId="1C38D7C6">
            <w:pPr>
              <w:keepNext w:val="0"/>
              <w:keepLines w:val="0"/>
              <w:pageBreakBefore w:val="0"/>
              <w:widowControl w:val="0"/>
              <w:kinsoku/>
              <w:wordWrap w:val="0"/>
              <w:topLinePunct w:val="0"/>
              <w:autoSpaceDE/>
              <w:autoSpaceDN/>
              <w:bidi w:val="0"/>
              <w:adjustRightInd w:val="0"/>
              <w:jc w:val="center"/>
              <w:rPr>
                <w:rFonts w:hint="default" w:ascii="Times New Roman" w:hAnsi="Times New Roman" w:eastAsia="方正仿宋简体" w:cs="Times New Roman"/>
                <w:color w:val="auto"/>
                <w:lang w:eastAsia="zh-CN"/>
              </w:rPr>
            </w:pPr>
            <w:r>
              <w:rPr>
                <w:rFonts w:hint="default" w:ascii="Times New Roman" w:hAnsi="Times New Roman" w:eastAsia="仿宋_GB2312" w:cs="Times New Roman"/>
                <w:bCs/>
                <w:color w:val="auto"/>
                <w:spacing w:val="6"/>
                <w:szCs w:val="28"/>
                <w:lang w:val="en-US" w:eastAsia="zh-CN"/>
              </w:rPr>
              <w:t>党群工作办公室副科长</w:t>
            </w:r>
          </w:p>
        </w:tc>
      </w:tr>
      <w:tr w14:paraId="0172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4E26D583">
            <w:pPr>
              <w:keepNext w:val="0"/>
              <w:keepLines w:val="0"/>
              <w:pageBreakBefore w:val="0"/>
              <w:widowControl w:val="0"/>
              <w:kinsoku/>
              <w:wordWrap w:val="0"/>
              <w:topLinePunct w:val="0"/>
              <w:autoSpaceDE/>
              <w:autoSpaceDN/>
              <w:bidi w:val="0"/>
              <w:adjustRightInd w:val="0"/>
              <w:snapToGrid w:val="0"/>
              <w:jc w:val="center"/>
              <w:rPr>
                <w:rFonts w:hint="default" w:ascii="Times New Roman" w:hAnsi="Times New Roman" w:eastAsia="楷体_GB2312" w:cs="Times New Roman"/>
                <w:bCs/>
                <w:color w:val="auto"/>
                <w:spacing w:val="6"/>
                <w:szCs w:val="28"/>
                <w:lang w:val="en-US" w:eastAsia="zh-CN"/>
              </w:rPr>
            </w:pPr>
            <w:r>
              <w:rPr>
                <w:rFonts w:hint="default" w:ascii="Times New Roman" w:hAnsi="Times New Roman" w:eastAsia="楷体_GB2312" w:cs="Times New Roman"/>
                <w:color w:val="auto"/>
                <w:sz w:val="28"/>
                <w:szCs w:val="32"/>
                <w:lang w:val="en-US" w:eastAsia="zh-CN"/>
              </w:rPr>
              <w:t>联系方式</w:t>
            </w:r>
          </w:p>
        </w:tc>
        <w:tc>
          <w:tcPr>
            <w:tcW w:w="3076" w:type="dxa"/>
            <w:vAlign w:val="center"/>
          </w:tcPr>
          <w:p w14:paraId="1E32C947">
            <w:pPr>
              <w:keepNext w:val="0"/>
              <w:keepLines w:val="0"/>
              <w:pageBreakBefore w:val="0"/>
              <w:widowControl w:val="0"/>
              <w:kinsoku/>
              <w:wordWrap w:val="0"/>
              <w:topLinePunct w:val="0"/>
              <w:autoSpaceDE/>
              <w:autoSpaceDN/>
              <w:bidi w:val="0"/>
              <w:adjustRightInd w:val="0"/>
              <w:snapToGrid w:val="0"/>
              <w:jc w:val="center"/>
              <w:rPr>
                <w:rFonts w:hint="default" w:ascii="Times New Roman" w:hAnsi="Times New Roman" w:eastAsia="仿宋_GB2312" w:cs="Times New Roman"/>
                <w:bCs/>
                <w:color w:val="auto"/>
                <w:spacing w:val="6"/>
                <w:szCs w:val="28"/>
                <w:lang w:val="en-US" w:eastAsia="zh-CN"/>
              </w:rPr>
            </w:pPr>
            <w:r>
              <w:rPr>
                <w:rFonts w:hint="default" w:ascii="Times New Roman" w:hAnsi="Times New Roman" w:eastAsia="仿宋_GB2312" w:cs="Times New Roman"/>
                <w:bCs/>
                <w:color w:val="auto"/>
                <w:spacing w:val="6"/>
                <w:szCs w:val="28"/>
                <w:lang w:val="en-US" w:eastAsia="zh-CN"/>
              </w:rPr>
              <w:t>15110198784</w:t>
            </w:r>
          </w:p>
        </w:tc>
        <w:tc>
          <w:tcPr>
            <w:tcW w:w="1073" w:type="dxa"/>
            <w:vAlign w:val="center"/>
          </w:tcPr>
          <w:p w14:paraId="3273D8E2">
            <w:pPr>
              <w:keepNext w:val="0"/>
              <w:keepLines w:val="0"/>
              <w:pageBreakBefore w:val="0"/>
              <w:widowControl w:val="0"/>
              <w:kinsoku/>
              <w:wordWrap w:val="0"/>
              <w:topLinePunct w:val="0"/>
              <w:autoSpaceDE/>
              <w:autoSpaceDN/>
              <w:bidi w:val="0"/>
              <w:adjustRightInd w:val="0"/>
              <w:spacing w:line="560" w:lineRule="exact"/>
              <w:jc w:val="center"/>
              <w:rPr>
                <w:rFonts w:hint="default" w:ascii="Times New Roman" w:hAnsi="Times New Roman" w:eastAsia="楷体_GB2312" w:cs="Times New Roman"/>
                <w:color w:val="auto"/>
                <w:sz w:val="28"/>
                <w:szCs w:val="32"/>
              </w:rPr>
            </w:pPr>
            <w:r>
              <w:rPr>
                <w:rFonts w:hint="default" w:ascii="Times New Roman" w:hAnsi="Times New Roman" w:eastAsia="楷体_GB2312" w:cs="Times New Roman"/>
                <w:color w:val="auto"/>
                <w:sz w:val="28"/>
                <w:szCs w:val="32"/>
              </w:rPr>
              <w:t>微信</w:t>
            </w:r>
          </w:p>
        </w:tc>
        <w:tc>
          <w:tcPr>
            <w:tcW w:w="2783" w:type="dxa"/>
            <w:vAlign w:val="center"/>
          </w:tcPr>
          <w:p w14:paraId="1C9909F3">
            <w:pPr>
              <w:keepNext w:val="0"/>
              <w:keepLines w:val="0"/>
              <w:pageBreakBefore w:val="0"/>
              <w:widowControl w:val="0"/>
              <w:kinsoku/>
              <w:wordWrap w:val="0"/>
              <w:topLinePunct w:val="0"/>
              <w:autoSpaceDE/>
              <w:autoSpaceDN/>
              <w:bidi w:val="0"/>
              <w:adjustRightInd w:val="0"/>
              <w:jc w:val="center"/>
              <w:rPr>
                <w:rFonts w:hint="default" w:ascii="Times New Roman" w:hAnsi="Times New Roman" w:eastAsia="方正仿宋简体" w:cs="Times New Roman"/>
                <w:color w:val="auto"/>
              </w:rPr>
            </w:pPr>
            <w:r>
              <w:rPr>
                <w:rFonts w:hint="default" w:ascii="Times New Roman" w:hAnsi="Times New Roman" w:eastAsia="仿宋_GB2312" w:cs="Times New Roman"/>
                <w:bCs/>
                <w:color w:val="auto"/>
                <w:spacing w:val="6"/>
                <w:szCs w:val="28"/>
                <w:lang w:val="en-US" w:eastAsia="zh-CN"/>
              </w:rPr>
              <w:t>15110198784</w:t>
            </w:r>
          </w:p>
        </w:tc>
      </w:tr>
    </w:tbl>
    <w:p w14:paraId="126D0FB9">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398CE8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FD138E6">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auto"/>
                <w:sz w:val="28"/>
                <w:szCs w:val="28"/>
                <w:highlight w:val="yellow"/>
              </w:rPr>
            </w:pPr>
            <w:r>
              <w:rPr>
                <w:rFonts w:hint="eastAsia" w:ascii="楷体_GB2312" w:hAnsi="楷体_GB2312" w:eastAsia="楷体_GB2312" w:cs="楷体_GB2312"/>
                <w:b w:val="0"/>
                <w:color w:val="auto"/>
                <w:sz w:val="28"/>
                <w:szCs w:val="28"/>
                <w:highlight w:val="none"/>
                <w:lang w:val="en-US" w:eastAsia="zh-CN"/>
              </w:rPr>
              <w:t>选题</w:t>
            </w:r>
            <w:r>
              <w:rPr>
                <w:rFonts w:hint="eastAsia" w:ascii="楷体_GB2312" w:hAnsi="楷体_GB2312" w:eastAsia="楷体_GB2312" w:cs="楷体_GB2312"/>
                <w:b w:val="0"/>
                <w:color w:val="auto"/>
                <w:sz w:val="28"/>
                <w:szCs w:val="28"/>
                <w:highlight w:val="none"/>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DA3630B">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color w:val="auto"/>
                <w:highlight w:val="yellow"/>
              </w:rPr>
            </w:pPr>
            <w:r>
              <w:rPr>
                <w:rFonts w:hint="eastAsia" w:ascii="仿宋_GB2312" w:hAnsi="仿宋_GB2312" w:eastAsia="仿宋_GB2312" w:cs="仿宋_GB2312"/>
                <w:b w:val="0"/>
                <w:bCs/>
                <w:color w:val="auto"/>
                <w:spacing w:val="6"/>
                <w:szCs w:val="28"/>
                <w:highlight w:val="none"/>
                <w:lang w:eastAsia="zh-CN"/>
              </w:rPr>
              <w:t>党建协调委员会机制下驻场单位参与基层治理的实践路径与机制创新研究</w:t>
            </w:r>
          </w:p>
        </w:tc>
      </w:tr>
      <w:tr w14:paraId="7A2C31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74DE29E">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auto"/>
                <w:sz w:val="28"/>
                <w:szCs w:val="28"/>
                <w:highlight w:val="none"/>
              </w:rPr>
            </w:pPr>
            <w:r>
              <w:rPr>
                <w:rFonts w:hint="eastAsia" w:ascii="楷体_GB2312" w:hAnsi="楷体_GB2312" w:eastAsia="楷体_GB2312" w:cs="楷体_GB2312"/>
                <w:b w:val="0"/>
                <w:color w:val="auto"/>
                <w:sz w:val="28"/>
                <w:szCs w:val="28"/>
                <w:highlight w:val="none"/>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845B651">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color w:val="auto"/>
                <w:highlight w:val="none"/>
                <w:lang w:eastAsia="zh-CN"/>
              </w:rPr>
            </w:pPr>
            <w:r>
              <w:rPr>
                <w:rFonts w:hint="eastAsia" w:ascii="仿宋_GB2312" w:hAnsi="仿宋_GB2312" w:eastAsia="仿宋_GB2312" w:cs="仿宋_GB2312"/>
                <w:b w:val="0"/>
                <w:bCs/>
                <w:color w:val="auto"/>
                <w:spacing w:val="6"/>
                <w:szCs w:val="28"/>
                <w:highlight w:val="none"/>
                <w:lang w:val="en-US" w:eastAsia="zh-CN"/>
              </w:rPr>
              <w:t>社会治理</w:t>
            </w:r>
          </w:p>
        </w:tc>
      </w:tr>
      <w:tr w14:paraId="7483EC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31269B7">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highlight w:val="none"/>
              </w:rPr>
            </w:pPr>
            <w:r>
              <w:rPr>
                <w:rFonts w:hint="eastAsia" w:ascii="楷体_GB2312" w:hAnsi="楷体_GB2312" w:eastAsia="楷体_GB2312" w:cs="楷体_GB2312"/>
                <w:b w:val="0"/>
                <w:color w:val="000000"/>
                <w:sz w:val="28"/>
                <w:szCs w:val="28"/>
                <w:highlight w:val="none"/>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C356A96">
            <w:pPr>
              <w:keepNext w:val="0"/>
              <w:keepLines w:val="0"/>
              <w:pageBreakBefore w:val="0"/>
              <w:widowControl w:val="0"/>
              <w:kinsoku/>
              <w:wordWrap w:val="0"/>
              <w:topLinePunct w:val="0"/>
              <w:autoSpaceDE/>
              <w:autoSpaceDN/>
              <w:bidi w:val="0"/>
              <w:adjustRightInd w:val="0"/>
              <w:ind w:firstLine="504" w:firstLineChars="200"/>
              <w:jc w:val="left"/>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首都机场街道党建协调委员会是在首都机场街道工委领导下的议事协商平台，核心功能是依托“一会五委”体系，统筹协调整合资源，推动形成区域化“大党建”工作格局，破解基层治理中“管不着、管不全”的难题。“一会”指党建协调委员会，作为区域化党建的核心议事协商平台，由街道工委领导，统筹区域内各类党组织力量。“五委”指在协调委员会下设的五个专业委员会：经济发展专委会、平安建设专委会、文化文明专委会、社会民生专委会、城市治理专委会，分别聚焦不同治理领域，实现专项事务专业化统筹。</w:t>
            </w:r>
          </w:p>
          <w:p w14:paraId="7DAB596A">
            <w:pPr>
              <w:keepNext w:val="0"/>
              <w:keepLines w:val="0"/>
              <w:pageBreakBefore w:val="0"/>
              <w:widowControl w:val="0"/>
              <w:kinsoku/>
              <w:wordWrap w:val="0"/>
              <w:topLinePunct w:val="0"/>
              <w:autoSpaceDE/>
              <w:autoSpaceDN/>
              <w:bidi w:val="0"/>
              <w:adjustRightInd w:val="0"/>
              <w:ind w:firstLine="504" w:firstLineChars="200"/>
              <w:jc w:val="left"/>
              <w:rPr>
                <w:rFonts w:hint="eastAsia" w:ascii="仿宋_GB2312" w:hAnsi="仿宋_GB2312" w:eastAsia="仿宋_GB2312" w:cs="仿宋_GB2312"/>
                <w:b w:val="0"/>
                <w:bCs w:val="0"/>
                <w:color w:val="000000"/>
                <w:spacing w:val="6"/>
                <w:szCs w:val="28"/>
                <w:highlight w:val="none"/>
                <w:lang w:val="en-US" w:eastAsia="zh-CN"/>
              </w:rPr>
            </w:pPr>
            <w:r>
              <w:rPr>
                <w:rFonts w:hint="eastAsia" w:ascii="仿宋_GB2312" w:hAnsi="仿宋_GB2312" w:eastAsia="仿宋_GB2312" w:cs="仿宋_GB2312"/>
                <w:bCs/>
                <w:color w:val="auto"/>
                <w:spacing w:val="6"/>
                <w:szCs w:val="28"/>
                <w:lang w:val="en-US" w:eastAsia="zh-CN"/>
              </w:rPr>
              <w:t>首都机场辖区内驻场单位密集、治理场景特殊，现有党建协调委员会“一会五委”体系需进一步激活协同效能。本选题聚焦驻场单位与基层治理的深度融合，需破解参与动力不足、联动机制不畅等问题，要求形成可落地的调研分析报告，为党建协调委员会“一会五委”体系进一步改革优化提供实操支撑，兼具现实需求与创新空间。</w:t>
            </w:r>
          </w:p>
        </w:tc>
      </w:tr>
      <w:tr w14:paraId="0FBAB1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F4316EE">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FC74E4B">
            <w:pPr>
              <w:keepNext w:val="0"/>
              <w:keepLines w:val="0"/>
              <w:pageBreakBefore w:val="0"/>
              <w:widowControl w:val="0"/>
              <w:numPr>
                <w:ilvl w:val="0"/>
                <w:numId w:val="0"/>
              </w:numPr>
              <w:kinsoku/>
              <w:wordWrap w:val="0"/>
              <w:topLinePunct w:val="0"/>
              <w:autoSpaceDE/>
              <w:autoSpaceDN/>
              <w:bidi w:val="0"/>
              <w:adjustRightInd w:val="0"/>
              <w:snapToGrid w:val="0"/>
              <w:rPr>
                <w:rFonts w:hint="default" w:ascii="Times New Roman" w:hAnsi="Times New Roman" w:eastAsia="仿宋_GB2312" w:cs="Times New Roman"/>
                <w:b w:val="0"/>
                <w:color w:val="auto"/>
              </w:rPr>
            </w:pPr>
            <w:r>
              <w:rPr>
                <w:rFonts w:hint="eastAsia" w:ascii="Times New Roman" w:hAnsi="Times New Roman" w:eastAsia="仿宋_GB2312" w:cs="Times New Roman"/>
                <w:b w:val="0"/>
                <w:color w:val="auto"/>
                <w:lang w:val="en-US" w:eastAsia="zh-CN"/>
              </w:rPr>
              <w:t>1.</w:t>
            </w:r>
            <w:r>
              <w:rPr>
                <w:rFonts w:hint="default" w:ascii="Times New Roman" w:hAnsi="Times New Roman" w:eastAsia="仿宋_GB2312" w:cs="Times New Roman"/>
                <w:b w:val="0"/>
                <w:color w:val="auto"/>
              </w:rPr>
              <w:t>完成驻场单位参与基层治理现状调研，梳理核心痛点与堵点；2.结合</w:t>
            </w:r>
            <w:r>
              <w:rPr>
                <w:rFonts w:hint="eastAsia" w:ascii="仿宋_GB2312" w:hAnsi="仿宋_GB2312" w:eastAsia="仿宋_GB2312" w:cs="仿宋_GB2312"/>
                <w:b w:val="0"/>
                <w:bCs w:val="0"/>
                <w:color w:val="auto"/>
                <w:spacing w:val="6"/>
                <w:szCs w:val="28"/>
                <w:highlight w:val="none"/>
                <w:lang w:val="en-US" w:eastAsia="zh-CN"/>
              </w:rPr>
              <w:t>党建协调委员会</w:t>
            </w:r>
            <w:r>
              <w:rPr>
                <w:rFonts w:hint="default" w:ascii="Times New Roman" w:hAnsi="Times New Roman" w:eastAsia="仿宋_GB2312" w:cs="Times New Roman"/>
                <w:b w:val="0"/>
                <w:color w:val="auto"/>
              </w:rPr>
              <w:t>“一会五委”体系特点，提出3条以上可落地的路径；</w:t>
            </w:r>
          </w:p>
          <w:p w14:paraId="0FD63B19">
            <w:pPr>
              <w:keepNext w:val="0"/>
              <w:keepLines w:val="0"/>
              <w:pageBreakBefore w:val="0"/>
              <w:widowControl w:val="0"/>
              <w:numPr>
                <w:ilvl w:val="0"/>
                <w:numId w:val="0"/>
              </w:numPr>
              <w:kinsoku/>
              <w:wordWrap w:val="0"/>
              <w:topLinePunct w:val="0"/>
              <w:autoSpaceDE/>
              <w:autoSpaceDN/>
              <w:bidi w:val="0"/>
              <w:adjustRightInd w:val="0"/>
              <w:snapToGrid w:val="0"/>
              <w:rPr>
                <w:rFonts w:hint="eastAsia" w:ascii="仿宋_GB2312" w:hAnsi="仿宋_GB2312" w:eastAsia="仿宋_GB2312" w:cs="仿宋_GB2312"/>
                <w:b w:val="0"/>
                <w:color w:val="000000"/>
              </w:rPr>
            </w:pPr>
            <w:r>
              <w:rPr>
                <w:rFonts w:hint="default" w:ascii="Times New Roman" w:hAnsi="Times New Roman" w:eastAsia="仿宋_GB2312" w:cs="Times New Roman"/>
                <w:b w:val="0"/>
                <w:color w:val="auto"/>
              </w:rPr>
              <w:t>3.形成结构完整、数据支撑充分的可行性调研分析报告，并规划下阶段推进步骤</w:t>
            </w:r>
            <w:r>
              <w:rPr>
                <w:rFonts w:hint="eastAsia" w:ascii="仿宋_GB2312" w:hAnsi="仿宋_GB2312" w:eastAsia="仿宋_GB2312" w:cs="仿宋_GB2312"/>
                <w:b w:val="0"/>
                <w:color w:val="auto"/>
              </w:rPr>
              <w:t>。</w:t>
            </w:r>
          </w:p>
        </w:tc>
      </w:tr>
      <w:tr w14:paraId="2D8493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C6D6DA">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5D647E68">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750204">
            <w:pPr>
              <w:keepNext w:val="0"/>
              <w:keepLines w:val="0"/>
              <w:pageBreakBefore w:val="0"/>
              <w:widowControl w:val="0"/>
              <w:numPr>
                <w:ilvl w:val="0"/>
                <w:numId w:val="0"/>
              </w:numPr>
              <w:kinsoku/>
              <w:wordWrap w:val="0"/>
              <w:overflowPunct w:val="0"/>
              <w:topLinePunct w:val="0"/>
              <w:autoSpaceDE/>
              <w:autoSpaceDN/>
              <w:bidi w:val="0"/>
              <w:adjustRightInd w:val="0"/>
              <w:snapToGrid w:val="0"/>
              <w:rPr>
                <w:rFonts w:hint="default" w:ascii="Times New Roman" w:hAnsi="Times New Roman" w:eastAsia="仿宋_GB2312" w:cs="Times New Roman"/>
                <w:b w:val="0"/>
                <w:bCs/>
                <w:color w:val="auto"/>
                <w:spacing w:val="6"/>
                <w:szCs w:val="28"/>
                <w:u w:val="none"/>
              </w:rPr>
            </w:pPr>
            <w:r>
              <w:rPr>
                <w:rFonts w:hint="eastAsia" w:eastAsia="仿宋_GB2312" w:cs="Times New Roman"/>
                <w:b w:val="0"/>
                <w:bCs/>
                <w:color w:val="auto"/>
                <w:spacing w:val="6"/>
                <w:szCs w:val="28"/>
                <w:u w:val="none"/>
                <w:lang w:val="en-US" w:eastAsia="zh-CN"/>
              </w:rPr>
              <w:t>1.</w:t>
            </w:r>
            <w:r>
              <w:rPr>
                <w:rFonts w:hint="default" w:ascii="Times New Roman" w:hAnsi="Times New Roman" w:eastAsia="仿宋_GB2312" w:cs="Times New Roman"/>
                <w:b w:val="0"/>
                <w:bCs/>
                <w:color w:val="auto"/>
                <w:spacing w:val="6"/>
                <w:szCs w:val="28"/>
                <w:u w:val="none"/>
              </w:rPr>
              <w:t>调研深度（30%）</w:t>
            </w:r>
            <w:r>
              <w:rPr>
                <w:rFonts w:hint="eastAsia" w:eastAsia="仿宋_GB2312" w:cs="Times New Roman"/>
                <w:b w:val="0"/>
                <w:bCs/>
                <w:color w:val="auto"/>
                <w:spacing w:val="6"/>
                <w:szCs w:val="28"/>
                <w:u w:val="none"/>
                <w:lang w:eastAsia="zh-CN"/>
              </w:rPr>
              <w:t>：</w:t>
            </w:r>
            <w:r>
              <w:rPr>
                <w:rFonts w:hint="default" w:ascii="Times New Roman" w:hAnsi="Times New Roman" w:eastAsia="仿宋_GB2312" w:cs="Times New Roman"/>
                <w:b w:val="0"/>
                <w:bCs/>
                <w:color w:val="auto"/>
                <w:spacing w:val="6"/>
                <w:szCs w:val="28"/>
                <w:u w:val="none"/>
              </w:rPr>
              <w:t>是否全面掌握驻场单位与基层治理联动现状，数据真实且具代表性；</w:t>
            </w:r>
          </w:p>
          <w:p w14:paraId="198ABBF7">
            <w:pPr>
              <w:keepNext w:val="0"/>
              <w:keepLines w:val="0"/>
              <w:pageBreakBefore w:val="0"/>
              <w:widowControl w:val="0"/>
              <w:numPr>
                <w:ilvl w:val="0"/>
                <w:numId w:val="0"/>
              </w:numPr>
              <w:kinsoku/>
              <w:wordWrap w:val="0"/>
              <w:overflowPunct w:val="0"/>
              <w:topLinePunct w:val="0"/>
              <w:autoSpaceDE/>
              <w:autoSpaceDN/>
              <w:bidi w:val="0"/>
              <w:adjustRightInd w:val="0"/>
              <w:snapToGrid w:val="0"/>
              <w:ind w:leftChars="0"/>
              <w:rPr>
                <w:rFonts w:hint="default" w:ascii="Times New Roman" w:hAnsi="Times New Roman" w:eastAsia="仿宋_GB2312" w:cs="Times New Roman"/>
                <w:b w:val="0"/>
                <w:bCs/>
                <w:color w:val="auto"/>
                <w:spacing w:val="6"/>
                <w:szCs w:val="28"/>
                <w:u w:val="none"/>
              </w:rPr>
            </w:pPr>
            <w:r>
              <w:rPr>
                <w:rFonts w:hint="eastAsia" w:eastAsia="仿宋_GB2312" w:cs="Times New Roman"/>
                <w:b w:val="0"/>
                <w:bCs/>
                <w:color w:val="auto"/>
                <w:spacing w:val="6"/>
                <w:szCs w:val="28"/>
                <w:u w:val="none"/>
                <w:lang w:val="en-US" w:eastAsia="zh-CN"/>
              </w:rPr>
              <w:t>2.</w:t>
            </w:r>
            <w:r>
              <w:rPr>
                <w:rFonts w:hint="default" w:ascii="Times New Roman" w:hAnsi="Times New Roman" w:eastAsia="仿宋_GB2312" w:cs="Times New Roman"/>
                <w:b w:val="0"/>
                <w:bCs/>
                <w:color w:val="auto"/>
                <w:spacing w:val="6"/>
                <w:szCs w:val="28"/>
                <w:u w:val="none"/>
              </w:rPr>
              <w:t>路径创新性（30%）：提出的参与路径是否贴合机场区域特色，突破现有机制局限；</w:t>
            </w:r>
          </w:p>
          <w:p w14:paraId="1EF4F027">
            <w:pPr>
              <w:keepNext w:val="0"/>
              <w:keepLines w:val="0"/>
              <w:pageBreakBefore w:val="0"/>
              <w:widowControl w:val="0"/>
              <w:numPr>
                <w:ilvl w:val="0"/>
                <w:numId w:val="0"/>
              </w:numPr>
              <w:kinsoku/>
              <w:wordWrap w:val="0"/>
              <w:overflowPunct w:val="0"/>
              <w:topLinePunct w:val="0"/>
              <w:autoSpaceDE/>
              <w:autoSpaceDN/>
              <w:bidi w:val="0"/>
              <w:adjustRightInd w:val="0"/>
              <w:snapToGrid w:val="0"/>
              <w:ind w:leftChars="0"/>
              <w:rPr>
                <w:rFonts w:hint="default" w:ascii="Times New Roman" w:hAnsi="Times New Roman" w:eastAsia="仿宋_GB2312" w:cs="Times New Roman"/>
                <w:b w:val="0"/>
                <w:bCs/>
                <w:color w:val="auto"/>
                <w:spacing w:val="6"/>
                <w:szCs w:val="28"/>
                <w:u w:val="none"/>
              </w:rPr>
            </w:pPr>
            <w:r>
              <w:rPr>
                <w:rFonts w:hint="eastAsia" w:eastAsia="仿宋_GB2312" w:cs="Times New Roman"/>
                <w:b w:val="0"/>
                <w:bCs/>
                <w:color w:val="auto"/>
                <w:spacing w:val="6"/>
                <w:szCs w:val="28"/>
                <w:u w:val="none"/>
                <w:lang w:val="en-US" w:eastAsia="zh-CN"/>
              </w:rPr>
              <w:t>3.</w:t>
            </w:r>
            <w:r>
              <w:rPr>
                <w:rFonts w:hint="default" w:ascii="Times New Roman" w:hAnsi="Times New Roman" w:eastAsia="仿宋_GB2312" w:cs="Times New Roman"/>
                <w:b w:val="0"/>
                <w:bCs/>
                <w:color w:val="auto"/>
                <w:spacing w:val="6"/>
                <w:szCs w:val="28"/>
                <w:u w:val="none"/>
              </w:rPr>
              <w:t>可行性（30%）：方案是否符合</w:t>
            </w:r>
            <w:r>
              <w:rPr>
                <w:rFonts w:hint="eastAsia" w:ascii="仿宋_GB2312" w:hAnsi="仿宋_GB2312" w:eastAsia="仿宋_GB2312" w:cs="仿宋_GB2312"/>
                <w:b w:val="0"/>
                <w:bCs w:val="0"/>
                <w:color w:val="auto"/>
                <w:spacing w:val="6"/>
                <w:szCs w:val="28"/>
                <w:highlight w:val="none"/>
                <w:lang w:val="en-US" w:eastAsia="zh-CN"/>
              </w:rPr>
              <w:t>党建协调委员会</w:t>
            </w:r>
            <w:r>
              <w:rPr>
                <w:rFonts w:hint="default" w:ascii="Times New Roman" w:hAnsi="Times New Roman" w:eastAsia="仿宋_GB2312" w:cs="Times New Roman"/>
                <w:b w:val="0"/>
                <w:bCs/>
                <w:color w:val="auto"/>
                <w:spacing w:val="6"/>
                <w:szCs w:val="28"/>
                <w:u w:val="none"/>
              </w:rPr>
              <w:t>“一会五委” 运行实际，具备落地执行条件；</w:t>
            </w:r>
          </w:p>
          <w:p w14:paraId="1B15D9E8">
            <w:pPr>
              <w:keepNext w:val="0"/>
              <w:keepLines w:val="0"/>
              <w:pageBreakBefore w:val="0"/>
              <w:widowControl w:val="0"/>
              <w:numPr>
                <w:ilvl w:val="0"/>
                <w:numId w:val="0"/>
              </w:numPr>
              <w:kinsoku/>
              <w:wordWrap w:val="0"/>
              <w:overflowPunct w:val="0"/>
              <w:topLinePunct w:val="0"/>
              <w:autoSpaceDE/>
              <w:autoSpaceDN/>
              <w:bidi w:val="0"/>
              <w:adjustRightInd w:val="0"/>
              <w:snapToGrid w:val="0"/>
              <w:rPr>
                <w:rFonts w:hint="eastAsia" w:ascii="仿宋_GB2312" w:hAnsi="仿宋_GB2312" w:eastAsia="仿宋_GB2312" w:cs="仿宋_GB2312"/>
                <w:b w:val="0"/>
                <w:bCs/>
                <w:color w:val="000000"/>
                <w:spacing w:val="6"/>
                <w:szCs w:val="28"/>
                <w:u w:val="none"/>
              </w:rPr>
            </w:pPr>
            <w:r>
              <w:rPr>
                <w:rFonts w:hint="eastAsia" w:eastAsia="仿宋_GB2312" w:cs="Times New Roman"/>
                <w:b w:val="0"/>
                <w:bCs/>
                <w:color w:val="auto"/>
                <w:spacing w:val="6"/>
                <w:szCs w:val="28"/>
                <w:u w:val="none"/>
                <w:lang w:val="en-US" w:eastAsia="zh-CN"/>
              </w:rPr>
              <w:t>4.</w:t>
            </w:r>
            <w:r>
              <w:rPr>
                <w:rFonts w:hint="default" w:ascii="Times New Roman" w:hAnsi="Times New Roman" w:eastAsia="仿宋_GB2312" w:cs="Times New Roman"/>
                <w:b w:val="0"/>
                <w:bCs/>
                <w:color w:val="auto"/>
                <w:spacing w:val="6"/>
                <w:szCs w:val="28"/>
                <w:u w:val="none"/>
              </w:rPr>
              <w:t>报告规范性（10%）：结构清晰、逻辑严谨，表述专业准确。</w:t>
            </w:r>
          </w:p>
        </w:tc>
      </w:tr>
      <w:tr w14:paraId="7E26F2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77CFBA4">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1005347">
            <w:pPr>
              <w:keepNext w:val="0"/>
              <w:keepLines w:val="0"/>
              <w:pageBreakBefore w:val="0"/>
              <w:widowControl w:val="0"/>
              <w:kinsoku/>
              <w:wordWrap w:val="0"/>
              <w:overflowPunct w:val="0"/>
              <w:topLinePunct w:val="0"/>
              <w:autoSpaceDE/>
              <w:autoSpaceDN/>
              <w:bidi w:val="0"/>
              <w:adjustRightInd w:val="0"/>
              <w:snapToGrid w:val="0"/>
              <w:ind w:firstLine="480" w:firstLineChars="200"/>
              <w:rPr>
                <w:rFonts w:hint="eastAsia" w:ascii="仿宋_GB2312" w:hAnsi="仿宋_GB2312" w:eastAsia="仿宋_GB2312" w:cs="仿宋_GB2312"/>
                <w:b w:val="0"/>
                <w:color w:val="000000"/>
                <w:u w:val="none"/>
              </w:rPr>
            </w:pPr>
            <w:r>
              <w:rPr>
                <w:rFonts w:hint="eastAsia" w:ascii="仿宋_GB2312" w:hAnsi="仿宋_GB2312" w:eastAsia="仿宋_GB2312" w:cs="仿宋_GB2312"/>
                <w:b w:val="0"/>
                <w:color w:val="auto"/>
                <w:u w:val="none"/>
              </w:rPr>
              <w:t>参赛作品需聚焦首都机场街道具体场景，不得泛化论述；需尊重“一会五委”现有体系框架，突出改革优化而非推倒重建。</w:t>
            </w:r>
          </w:p>
        </w:tc>
      </w:tr>
    </w:tbl>
    <w:p w14:paraId="66FD57F1">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87F46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21DF348">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8B37F8F">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auto"/>
                <w:spacing w:val="6"/>
                <w:szCs w:val="28"/>
                <w:lang w:val="en-US"/>
              </w:rPr>
              <w:br w:type="textWrapping"/>
            </w:r>
            <w:r>
              <w:rPr>
                <w:rFonts w:hint="eastAsia" w:ascii="仿宋_GB2312" w:hAnsi="仿宋_GB2312" w:eastAsia="仿宋_GB2312" w:cs="仿宋_GB2312"/>
                <w:b w:val="0"/>
                <w:bCs/>
                <w:color w:val="auto"/>
                <w:spacing w:val="6"/>
                <w:szCs w:val="28"/>
                <w:lang w:val="en-US" w:eastAsia="zh-CN"/>
              </w:rPr>
              <w:t xml:space="preserve">    </w:t>
            </w:r>
            <w:r>
              <w:rPr>
                <w:rFonts w:hint="eastAsia" w:ascii="仿宋_GB2312" w:hAnsi="仿宋_GB2312" w:eastAsia="仿宋_GB2312" w:cs="仿宋_GB2312"/>
                <w:b w:val="0"/>
                <w:bCs/>
                <w:color w:val="auto"/>
                <w:spacing w:val="6"/>
                <w:szCs w:val="28"/>
                <w:lang w:val="en-US"/>
              </w:rPr>
              <w:t>可为参赛团队提供指导帮助，如参观应用场景、实践调研、</w:t>
            </w:r>
            <w:r>
              <w:rPr>
                <w:rFonts w:hint="eastAsia" w:ascii="仿宋_GB2312" w:hAnsi="仿宋_GB2312" w:eastAsia="仿宋_GB2312" w:cs="仿宋_GB2312"/>
                <w:b w:val="0"/>
                <w:bCs/>
                <w:color w:val="auto"/>
                <w:spacing w:val="6"/>
                <w:szCs w:val="28"/>
                <w:lang w:val="en-US" w:eastAsia="zh-CN"/>
              </w:rPr>
              <w:t>配备专门指导人员等</w:t>
            </w:r>
            <w:r>
              <w:rPr>
                <w:rFonts w:hint="eastAsia" w:ascii="仿宋_GB2312" w:hAnsi="仿宋_GB2312" w:eastAsia="仿宋_GB2312" w:cs="仿宋_GB2312"/>
                <w:b w:val="0"/>
                <w:bCs/>
                <w:color w:val="auto"/>
                <w:spacing w:val="6"/>
                <w:szCs w:val="28"/>
                <w:lang w:val="en-US"/>
              </w:rPr>
              <w:t>。</w:t>
            </w:r>
          </w:p>
        </w:tc>
      </w:tr>
      <w:tr w14:paraId="4E4CDD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8D71814">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7297B4A">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auto"/>
                <w:spacing w:val="6"/>
                <w:szCs w:val="28"/>
                <w:lang w:val="en-US"/>
              </w:rPr>
            </w:pPr>
            <w:r>
              <w:rPr>
                <w:rFonts w:hint="eastAsia" w:ascii="仿宋_GB2312" w:hAnsi="仿宋_GB2312" w:eastAsia="仿宋_GB2312" w:cs="仿宋_GB2312"/>
                <w:b w:val="0"/>
                <w:bCs/>
                <w:color w:val="auto"/>
                <w:spacing w:val="6"/>
                <w:szCs w:val="28"/>
                <w:lang w:val="en-US"/>
              </w:rPr>
              <w:t>一、奖项设置</w:t>
            </w:r>
          </w:p>
          <w:p w14:paraId="3F6E723E">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auto"/>
                <w:spacing w:val="6"/>
                <w:szCs w:val="28"/>
                <w:lang w:val="en-US"/>
              </w:rPr>
            </w:pPr>
            <w:r>
              <w:rPr>
                <w:rFonts w:hint="eastAsia" w:ascii="仿宋_GB2312" w:hAnsi="仿宋_GB2312" w:eastAsia="仿宋_GB2312" w:cs="仿宋_GB2312"/>
                <w:b w:val="0"/>
                <w:bCs/>
                <w:color w:val="auto"/>
                <w:spacing w:val="6"/>
                <w:szCs w:val="28"/>
                <w:lang w:val="en-US"/>
              </w:rPr>
              <w:t>原则上设“擂主”团队1个，根据实际情况评出相应的一等奖、二等奖、三等奖项目若干。</w:t>
            </w:r>
          </w:p>
          <w:p w14:paraId="5782A7DD">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auto"/>
                <w:spacing w:val="6"/>
                <w:szCs w:val="28"/>
                <w:lang w:val="en-US"/>
              </w:rPr>
            </w:pPr>
            <w:r>
              <w:rPr>
                <w:rFonts w:hint="eastAsia" w:ascii="仿宋_GB2312" w:hAnsi="仿宋_GB2312" w:eastAsia="仿宋_GB2312" w:cs="仿宋_GB2312"/>
                <w:b w:val="0"/>
                <w:bCs/>
                <w:color w:val="auto"/>
                <w:spacing w:val="6"/>
                <w:szCs w:val="28"/>
                <w:lang w:val="en-US"/>
              </w:rPr>
              <w:t>二、激励措施</w:t>
            </w:r>
          </w:p>
          <w:p w14:paraId="46E39054">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auto"/>
                <w:spacing w:val="6"/>
                <w:szCs w:val="28"/>
                <w:lang w:val="en-US"/>
              </w:rPr>
              <w:t>可为获奖者提供街道实习实践机会</w:t>
            </w:r>
            <w:r>
              <w:rPr>
                <w:rFonts w:hint="eastAsia" w:ascii="仿宋_GB2312" w:hAnsi="仿宋_GB2312" w:eastAsia="仿宋_GB2312" w:cs="仿宋_GB2312"/>
                <w:b w:val="0"/>
                <w:bCs/>
                <w:color w:val="auto"/>
                <w:spacing w:val="6"/>
                <w:szCs w:val="28"/>
                <w:lang w:val="en-US" w:eastAsia="zh-CN"/>
              </w:rPr>
              <w:t>。</w:t>
            </w:r>
          </w:p>
        </w:tc>
      </w:tr>
    </w:tbl>
    <w:p w14:paraId="3D94A60E">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1B5B7B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791960E4">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3CE8DA">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auto"/>
                <w:spacing w:val="6"/>
                <w:szCs w:val="28"/>
                <w:u w:val="none"/>
              </w:rPr>
              <w:t>聚焦基层治理中跨主体协同的关键难题，为</w:t>
            </w:r>
            <w:r>
              <w:rPr>
                <w:rFonts w:hint="eastAsia" w:ascii="仿宋_GB2312" w:hAnsi="仿宋_GB2312" w:eastAsia="仿宋_GB2312" w:cs="仿宋_GB2312"/>
                <w:b w:val="0"/>
                <w:bCs/>
                <w:color w:val="auto"/>
                <w:spacing w:val="6"/>
                <w:szCs w:val="28"/>
                <w:u w:val="none"/>
                <w:lang w:eastAsia="zh-CN"/>
              </w:rPr>
              <w:t>倡导属地大多数的非居民群体</w:t>
            </w:r>
            <w:r>
              <w:rPr>
                <w:rFonts w:hint="eastAsia" w:ascii="仿宋_GB2312" w:hAnsi="仿宋_GB2312" w:eastAsia="仿宋_GB2312" w:cs="仿宋_GB2312"/>
                <w:b w:val="0"/>
                <w:bCs/>
                <w:color w:val="auto"/>
                <w:spacing w:val="6"/>
                <w:szCs w:val="28"/>
                <w:u w:val="none"/>
              </w:rPr>
              <w:t>参与基层治理提供体系化解决方案，推动“党建引领+多元共治”模式创新，破解特殊区域治理联动瓶颈。</w:t>
            </w:r>
          </w:p>
        </w:tc>
      </w:tr>
      <w:tr w14:paraId="18D038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2AE77">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2DF82">
            <w:pPr>
              <w:overflowPunct w:val="0"/>
              <w:adjustRightInd w:val="0"/>
              <w:snapToGrid w:val="0"/>
              <w:ind w:firstLine="504" w:firstLineChars="200"/>
              <w:rPr>
                <w:rFonts w:hint="eastAsia" w:ascii="仿宋_GB2312" w:hAnsi="仿宋_GB2312" w:eastAsia="仿宋_GB2312" w:cs="仿宋_GB2312"/>
                <w:b w:val="0"/>
                <w:bCs/>
                <w:color w:val="auto"/>
                <w:spacing w:val="6"/>
                <w:szCs w:val="28"/>
                <w:u w:val="none"/>
                <w:lang w:eastAsia="zh-CN"/>
              </w:rPr>
            </w:pPr>
            <w:r>
              <w:rPr>
                <w:rFonts w:hint="eastAsia" w:ascii="仿宋_GB2312" w:hAnsi="仿宋_GB2312" w:eastAsia="仿宋_GB2312" w:cs="仿宋_GB2312"/>
                <w:b w:val="0"/>
                <w:bCs/>
                <w:color w:val="auto"/>
                <w:spacing w:val="6"/>
                <w:szCs w:val="28"/>
                <w:u w:val="none"/>
              </w:rPr>
              <w:t>预期成果</w:t>
            </w:r>
            <w:r>
              <w:rPr>
                <w:rFonts w:hint="eastAsia" w:ascii="仿宋_GB2312" w:hAnsi="仿宋_GB2312" w:eastAsia="仿宋_GB2312" w:cs="仿宋_GB2312"/>
                <w:b w:val="0"/>
                <w:bCs/>
                <w:color w:val="auto"/>
                <w:spacing w:val="6"/>
                <w:szCs w:val="28"/>
                <w:u w:val="none"/>
                <w:lang w:eastAsia="zh-CN"/>
              </w:rPr>
              <w:t>：</w:t>
            </w:r>
          </w:p>
          <w:p w14:paraId="3BB9FB5B">
            <w:pPr>
              <w:overflowPunct w:val="0"/>
              <w:adjustRightInd w:val="0"/>
              <w:snapToGrid w:val="0"/>
              <w:ind w:firstLine="504" w:firstLineChars="200"/>
              <w:rPr>
                <w:rFonts w:hint="eastAsia" w:ascii="仿宋_GB2312" w:hAnsi="仿宋_GB2312" w:eastAsia="仿宋_GB2312" w:cs="仿宋_GB2312"/>
                <w:b w:val="0"/>
                <w:bCs/>
                <w:color w:val="auto"/>
                <w:spacing w:val="6"/>
                <w:szCs w:val="28"/>
                <w:u w:val="none"/>
              </w:rPr>
            </w:pPr>
            <w:r>
              <w:rPr>
                <w:rFonts w:hint="eastAsia" w:ascii="仿宋_GB2312" w:hAnsi="仿宋_GB2312" w:eastAsia="仿宋_GB2312" w:cs="仿宋_GB2312"/>
                <w:b w:val="0"/>
                <w:bCs/>
                <w:color w:val="auto"/>
                <w:spacing w:val="6"/>
                <w:szCs w:val="28"/>
                <w:u w:val="none"/>
                <w:lang w:val="en-US" w:eastAsia="zh-CN"/>
              </w:rPr>
              <w:t>1.</w:t>
            </w:r>
            <w:r>
              <w:rPr>
                <w:rFonts w:hint="eastAsia" w:ascii="仿宋_GB2312" w:hAnsi="仿宋_GB2312" w:eastAsia="仿宋_GB2312" w:cs="仿宋_GB2312"/>
                <w:b w:val="0"/>
                <w:bCs/>
                <w:color w:val="auto"/>
                <w:spacing w:val="6"/>
                <w:szCs w:val="28"/>
                <w:u w:val="none"/>
              </w:rPr>
              <w:t>激活驻场单位</w:t>
            </w:r>
            <w:r>
              <w:rPr>
                <w:rFonts w:hint="eastAsia" w:ascii="仿宋_GB2312" w:hAnsi="仿宋_GB2312" w:eastAsia="仿宋_GB2312" w:cs="仿宋_GB2312"/>
                <w:b w:val="0"/>
                <w:bCs/>
                <w:color w:val="auto"/>
                <w:spacing w:val="6"/>
                <w:szCs w:val="28"/>
                <w:u w:val="none"/>
                <w:lang w:eastAsia="zh-CN"/>
              </w:rPr>
              <w:t>参与基层</w:t>
            </w:r>
            <w:r>
              <w:rPr>
                <w:rFonts w:hint="eastAsia" w:ascii="仿宋_GB2312" w:hAnsi="仿宋_GB2312" w:eastAsia="仿宋_GB2312" w:cs="仿宋_GB2312"/>
                <w:b w:val="0"/>
                <w:bCs/>
                <w:color w:val="auto"/>
                <w:spacing w:val="6"/>
                <w:szCs w:val="28"/>
                <w:u w:val="none"/>
              </w:rPr>
              <w:t>治理</w:t>
            </w:r>
            <w:r>
              <w:rPr>
                <w:rFonts w:hint="eastAsia" w:ascii="仿宋_GB2312" w:hAnsi="仿宋_GB2312" w:eastAsia="仿宋_GB2312" w:cs="仿宋_GB2312"/>
                <w:b w:val="0"/>
                <w:bCs/>
                <w:color w:val="auto"/>
                <w:spacing w:val="6"/>
                <w:szCs w:val="28"/>
                <w:u w:val="none"/>
                <w:lang w:eastAsia="zh-CN"/>
              </w:rPr>
              <w:t>的热情与动力</w:t>
            </w:r>
            <w:r>
              <w:rPr>
                <w:rFonts w:hint="eastAsia" w:ascii="仿宋_GB2312" w:hAnsi="仿宋_GB2312" w:eastAsia="仿宋_GB2312" w:cs="仿宋_GB2312"/>
                <w:b w:val="0"/>
                <w:bCs/>
                <w:color w:val="auto"/>
                <w:spacing w:val="6"/>
                <w:szCs w:val="28"/>
                <w:u w:val="none"/>
              </w:rPr>
              <w:t>，</w:t>
            </w:r>
            <w:r>
              <w:rPr>
                <w:rFonts w:hint="eastAsia" w:ascii="仿宋_GB2312" w:hAnsi="仿宋_GB2312" w:eastAsia="仿宋_GB2312" w:cs="仿宋_GB2312"/>
                <w:b w:val="0"/>
                <w:bCs/>
                <w:color w:val="auto"/>
                <w:spacing w:val="6"/>
                <w:szCs w:val="28"/>
                <w:u w:val="none"/>
                <w:lang w:val="en-US" w:eastAsia="zh-CN"/>
              </w:rPr>
              <w:t>整合属地资源，汇聚区域力量，</w:t>
            </w:r>
            <w:r>
              <w:rPr>
                <w:rFonts w:hint="eastAsia" w:ascii="仿宋_GB2312" w:hAnsi="仿宋_GB2312" w:eastAsia="仿宋_GB2312" w:cs="仿宋_GB2312"/>
                <w:b w:val="0"/>
                <w:bCs/>
                <w:color w:val="auto"/>
                <w:spacing w:val="6"/>
                <w:szCs w:val="28"/>
                <w:u w:val="none"/>
              </w:rPr>
              <w:t>提升机场街道公共服务效率与应急处置能力，减少治理成本</w:t>
            </w:r>
            <w:r>
              <w:rPr>
                <w:rFonts w:hint="eastAsia" w:ascii="仿宋_GB2312" w:hAnsi="仿宋_GB2312" w:eastAsia="仿宋_GB2312" w:cs="仿宋_GB2312"/>
                <w:b w:val="0"/>
                <w:bCs/>
                <w:color w:val="auto"/>
                <w:spacing w:val="6"/>
                <w:szCs w:val="28"/>
                <w:u w:val="none"/>
                <w:lang w:eastAsia="zh-CN"/>
              </w:rPr>
              <w:t>、提高治理效能。</w:t>
            </w:r>
          </w:p>
          <w:p w14:paraId="41689E5F">
            <w:pPr>
              <w:overflowPunct w:val="0"/>
              <w:adjustRightInd w:val="0"/>
              <w:snapToGrid w:val="0"/>
              <w:ind w:firstLine="504" w:firstLineChars="200"/>
              <w:rPr>
                <w:rFonts w:hint="eastAsia" w:ascii="仿宋_GB2312" w:hAnsi="仿宋_GB2312" w:eastAsia="仿宋_GB2312" w:cs="仿宋_GB2312"/>
                <w:b w:val="0"/>
                <w:bCs/>
                <w:color w:val="auto"/>
                <w:spacing w:val="6"/>
                <w:szCs w:val="28"/>
                <w:u w:val="none"/>
              </w:rPr>
            </w:pPr>
            <w:r>
              <w:rPr>
                <w:rFonts w:hint="eastAsia" w:ascii="仿宋_GB2312" w:hAnsi="仿宋_GB2312" w:eastAsia="仿宋_GB2312" w:cs="仿宋_GB2312"/>
                <w:b w:val="0"/>
                <w:bCs/>
                <w:color w:val="auto"/>
                <w:spacing w:val="6"/>
                <w:szCs w:val="28"/>
                <w:u w:val="none"/>
                <w:lang w:val="en-US" w:eastAsia="zh-CN"/>
              </w:rPr>
              <w:t>2.</w:t>
            </w:r>
            <w:r>
              <w:rPr>
                <w:rFonts w:hint="eastAsia" w:ascii="仿宋_GB2312" w:hAnsi="仿宋_GB2312" w:eastAsia="仿宋_GB2312" w:cs="仿宋_GB2312"/>
                <w:b w:val="0"/>
                <w:bCs/>
                <w:color w:val="auto"/>
                <w:spacing w:val="6"/>
                <w:szCs w:val="28"/>
                <w:u w:val="none"/>
              </w:rPr>
              <w:t>促进区域共建共享，在街区更新、智慧治理、社区服务等方面精准发力，改善机场及周边民生环境，增强群众获得感与安全感</w:t>
            </w:r>
            <w:r>
              <w:rPr>
                <w:rFonts w:hint="eastAsia" w:ascii="仿宋_GB2312" w:hAnsi="仿宋_GB2312" w:eastAsia="仿宋_GB2312" w:cs="仿宋_GB2312"/>
                <w:b w:val="0"/>
                <w:bCs/>
                <w:color w:val="auto"/>
                <w:spacing w:val="6"/>
                <w:szCs w:val="28"/>
                <w:u w:val="none"/>
                <w:lang w:eastAsia="zh-CN"/>
              </w:rPr>
              <w:t>。</w:t>
            </w:r>
          </w:p>
          <w:p w14:paraId="46A8067B">
            <w:pPr>
              <w:overflowPunct w:val="0"/>
              <w:adjustRightInd w:val="0"/>
              <w:snapToGrid w:val="0"/>
              <w:ind w:firstLine="504" w:firstLineChars="200"/>
              <w:rPr>
                <w:rFonts w:hint="eastAsia" w:ascii="仿宋_GB2312" w:hAnsi="仿宋_GB2312" w:eastAsia="仿宋_GB2312" w:cs="仿宋_GB2312"/>
                <w:b w:val="0"/>
                <w:bCs/>
                <w:color w:val="FF0000"/>
                <w:spacing w:val="6"/>
                <w:szCs w:val="28"/>
                <w:u w:val="none"/>
              </w:rPr>
            </w:pPr>
            <w:r>
              <w:rPr>
                <w:rFonts w:hint="eastAsia" w:ascii="仿宋_GB2312" w:hAnsi="仿宋_GB2312" w:eastAsia="仿宋_GB2312" w:cs="仿宋_GB2312"/>
                <w:b w:val="0"/>
                <w:bCs/>
                <w:color w:val="auto"/>
                <w:spacing w:val="6"/>
                <w:szCs w:val="28"/>
                <w:u w:val="none"/>
                <w:lang w:val="en-US" w:eastAsia="zh-CN"/>
              </w:rPr>
              <w:t>3.</w:t>
            </w:r>
            <w:r>
              <w:rPr>
                <w:rFonts w:hint="eastAsia" w:ascii="仿宋_GB2312" w:hAnsi="仿宋_GB2312" w:eastAsia="仿宋_GB2312" w:cs="仿宋_GB2312"/>
                <w:b w:val="0"/>
                <w:bCs/>
                <w:color w:val="auto"/>
                <w:spacing w:val="6"/>
                <w:szCs w:val="28"/>
                <w:u w:val="none"/>
              </w:rPr>
              <w:t>通过打造彰显首都基层治理现代化水平的示范窗口，为朝阳区建设“首都文化创新引领区”和“超大城市现代化治理典范区”</w:t>
            </w:r>
            <w:r>
              <w:rPr>
                <w:rFonts w:hint="eastAsia" w:ascii="仿宋_GB2312" w:hAnsi="仿宋_GB2312" w:eastAsia="仿宋_GB2312" w:cs="仿宋_GB2312"/>
                <w:b w:val="0"/>
                <w:bCs/>
                <w:color w:val="auto"/>
                <w:spacing w:val="6"/>
                <w:szCs w:val="28"/>
                <w:u w:val="none"/>
                <w:lang w:eastAsia="zh-CN"/>
              </w:rPr>
              <w:t>，以及北京市</w:t>
            </w:r>
            <w:r>
              <w:rPr>
                <w:rFonts w:hint="eastAsia" w:ascii="仿宋_GB2312" w:hAnsi="仿宋_GB2312" w:eastAsia="仿宋_GB2312" w:cs="仿宋_GB2312"/>
                <w:b w:val="0"/>
                <w:bCs/>
                <w:color w:val="auto"/>
                <w:spacing w:val="6"/>
                <w:szCs w:val="28"/>
                <w:u w:val="none"/>
                <w:lang w:val="en-US" w:eastAsia="zh-CN"/>
              </w:rPr>
              <w:t>加强“四个中心”功能建设、提高“四个服务”水平</w:t>
            </w:r>
            <w:r>
              <w:rPr>
                <w:rFonts w:hint="eastAsia" w:ascii="仿宋_GB2312" w:hAnsi="仿宋_GB2312" w:eastAsia="仿宋_GB2312" w:cs="仿宋_GB2312"/>
                <w:b w:val="0"/>
                <w:bCs/>
                <w:color w:val="auto"/>
                <w:spacing w:val="6"/>
                <w:szCs w:val="28"/>
                <w:u w:val="none"/>
              </w:rPr>
              <w:t>提供坚实支撑。</w:t>
            </w:r>
          </w:p>
        </w:tc>
      </w:tr>
    </w:tbl>
    <w:p w14:paraId="41654F04">
      <w:pPr>
        <w:keepNext w:val="0"/>
        <w:keepLines w:val="0"/>
        <w:pageBreakBefore w:val="0"/>
        <w:widowControl w:val="0"/>
        <w:kinsoku/>
        <w:wordWrap w:val="0"/>
        <w:topLinePunct w:val="0"/>
        <w:autoSpaceDE/>
        <w:autoSpaceDN/>
        <w:bidi w:val="0"/>
        <w:rPr>
          <w:rFonts w:hint="eastAsia" w:ascii="楷体_GB2312" w:hAnsi="楷体_GB2312" w:eastAsia="楷体_GB2312" w:cs="楷体_GB2312"/>
          <w:color w:val="auto"/>
        </w:rPr>
      </w:pPr>
      <w:r>
        <w:rPr>
          <w:rFonts w:hint="eastAsia" w:ascii="楷体_GB2312" w:hAnsi="楷体_GB2312" w:eastAsia="楷体_GB2312" w:cs="楷体_GB2312"/>
          <w:color w:val="auto"/>
        </w:rPr>
        <w:br w:type="page"/>
      </w:r>
    </w:p>
    <w:p w14:paraId="3142153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064BA669">
      <w:pPr>
        <w:widowControl w:val="0"/>
        <w:tabs>
          <w:tab w:val="left" w:pos="8640"/>
        </w:tabs>
        <w:adjustRightInd w:val="0"/>
        <w:snapToGrid w:val="0"/>
        <w:spacing w:line="560" w:lineRule="exact"/>
        <w:jc w:val="center"/>
        <w:rPr>
          <w:rFonts w:hint="eastAsia"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—09</w:t>
      </w:r>
    </w:p>
    <w:p w14:paraId="2AC1502D">
      <w:pPr>
        <w:keepNext w:val="0"/>
        <w:keepLines w:val="0"/>
        <w:pageBreakBefore w:val="0"/>
        <w:widowControl w:val="0"/>
        <w:tabs>
          <w:tab w:val="left" w:pos="8640"/>
        </w:tabs>
        <w:kinsoku/>
        <w:wordWrap w:val="0"/>
        <w:overflowPunct/>
        <w:topLinePunct w:val="0"/>
        <w:autoSpaceDE/>
        <w:autoSpaceDN/>
        <w:bidi w:val="0"/>
        <w:adjustRightInd w:val="0"/>
        <w:snapToGrid w:val="0"/>
        <w:spacing w:line="240" w:lineRule="auto"/>
        <w:textAlignment w:val="auto"/>
        <w:rPr>
          <w:rFonts w:ascii="方正黑体简体" w:eastAsia="方正黑体简体"/>
          <w:bCs/>
          <w:color w:val="auto"/>
          <w:spacing w:val="6"/>
          <w:sz w:val="21"/>
          <w:szCs w:val="21"/>
        </w:rPr>
      </w:pPr>
    </w:p>
    <w:p w14:paraId="3276BCF8">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5B24F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59C71B62">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7579DAB4">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color w:val="000000"/>
              </w:rPr>
              <w:t>北京市朝阳区人民政府双井街道办事处</w:t>
            </w:r>
          </w:p>
        </w:tc>
      </w:tr>
      <w:tr w14:paraId="671D3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0B0FB0F4">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6E2AE955">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街道乡镇</w:t>
            </w:r>
          </w:p>
        </w:tc>
      </w:tr>
      <w:tr w14:paraId="1D26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6122A3DF">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6BD941A2">
            <w:pPr>
              <w:keepNext w:val="0"/>
              <w:keepLines w:val="0"/>
              <w:pageBreakBefore w:val="0"/>
              <w:widowControl w:val="0"/>
              <w:kinsoku/>
              <w:wordWrap w:val="0"/>
              <w:topLinePunct w:val="0"/>
              <w:autoSpaceDE/>
              <w:autoSpaceDN/>
              <w:bidi w:val="0"/>
              <w:adjustRightInd w:val="0"/>
              <w:jc w:val="center"/>
              <w:rPr>
                <w:rFonts w:hint="eastAsia" w:ascii="仿宋_GB2312" w:hAnsi="仿宋_GB2312" w:eastAsia="仿宋_GB2312" w:cs="仿宋_GB2312"/>
                <w:color w:val="auto"/>
              </w:rPr>
            </w:pPr>
            <w:r>
              <w:rPr>
                <w:rFonts w:hint="eastAsia" w:ascii="仿宋_GB2312" w:hAnsi="仿宋_GB2312" w:eastAsia="仿宋_GB2312" w:cs="仿宋_GB2312"/>
                <w:color w:val="000000"/>
              </w:rPr>
              <w:t>朝阳区百子湾南二路88号</w:t>
            </w:r>
          </w:p>
        </w:tc>
      </w:tr>
      <w:tr w14:paraId="7F12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8" w:hRule="atLeast"/>
          <w:jc w:val="center"/>
        </w:trPr>
        <w:tc>
          <w:tcPr>
            <w:tcW w:w="1668" w:type="dxa"/>
            <w:vAlign w:val="center"/>
          </w:tcPr>
          <w:p w14:paraId="5B99570D">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01B9B3A2">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Cs/>
                <w:color w:val="auto"/>
                <w:spacing w:val="6"/>
                <w:szCs w:val="28"/>
              </w:rPr>
            </w:pPr>
            <w:r>
              <w:rPr>
                <w:rFonts w:hint="eastAsia" w:ascii="Times New Roman" w:hAnsi="Times New Roman" w:eastAsia="仿宋_GB2312" w:cs="Times New Roman"/>
                <w:bCs/>
                <w:spacing w:val="6"/>
                <w:sz w:val="24"/>
                <w:szCs w:val="24"/>
                <w:lang w:val="en-US"/>
              </w:rPr>
              <w:t>双井街道位于朝阳区中西部，</w:t>
            </w:r>
            <w:r>
              <w:rPr>
                <w:rFonts w:hint="eastAsia" w:ascii="Times New Roman" w:hAnsi="Times New Roman" w:eastAsia="仿宋_GB2312" w:cs="Times New Roman"/>
                <w:bCs/>
                <w:spacing w:val="6"/>
                <w:sz w:val="24"/>
                <w:szCs w:val="24"/>
                <w:lang w:val="en-US" w:eastAsia="zh-CN"/>
              </w:rPr>
              <w:t>横</w:t>
            </w:r>
            <w:r>
              <w:rPr>
                <w:rFonts w:hint="eastAsia" w:ascii="Times New Roman" w:hAnsi="Times New Roman" w:eastAsia="仿宋_GB2312" w:cs="Times New Roman"/>
                <w:bCs/>
                <w:spacing w:val="6"/>
                <w:sz w:val="24"/>
                <w:szCs w:val="24"/>
                <w:lang w:val="en-US"/>
              </w:rPr>
              <w:t>跨东二环、三环、四环，辖区面积5.08平方公里，常住人口9.6万人，常态手机信令监测人口多达20万人。下辖2</w:t>
            </w:r>
            <w:r>
              <w:rPr>
                <w:rFonts w:hint="eastAsia" w:eastAsia="仿宋_GB2312" w:cs="Times New Roman"/>
                <w:bCs/>
                <w:spacing w:val="6"/>
                <w:sz w:val="24"/>
                <w:szCs w:val="24"/>
                <w:lang w:val="en-US" w:eastAsia="zh-CN"/>
              </w:rPr>
              <w:t>4</w:t>
            </w:r>
            <w:r>
              <w:rPr>
                <w:rFonts w:hint="eastAsia" w:ascii="Times New Roman" w:hAnsi="Times New Roman" w:eastAsia="仿宋_GB2312" w:cs="Times New Roman"/>
                <w:bCs/>
                <w:spacing w:val="6"/>
                <w:sz w:val="24"/>
                <w:szCs w:val="24"/>
                <w:lang w:val="en-US"/>
              </w:rPr>
              <w:t>个社区，</w:t>
            </w:r>
            <w:r>
              <w:rPr>
                <w:rFonts w:hint="eastAsia" w:ascii="Times New Roman" w:hAnsi="Times New Roman" w:eastAsia="仿宋_GB2312" w:cs="Times New Roman"/>
                <w:bCs/>
                <w:spacing w:val="6"/>
                <w:sz w:val="24"/>
                <w:szCs w:val="24"/>
                <w:lang w:val="en-US" w:eastAsia="zh-CN"/>
              </w:rPr>
              <w:t>为</w:t>
            </w:r>
            <w:r>
              <w:rPr>
                <w:rFonts w:hint="eastAsia" w:ascii="仿宋_GB2312" w:hAnsi="仿宋_GB2312" w:eastAsia="仿宋_GB2312" w:cs="仿宋_GB2312"/>
                <w:bCs/>
                <w:color w:val="auto"/>
                <w:spacing w:val="6"/>
                <w:szCs w:val="28"/>
              </w:rPr>
              <w:t>推动社区治理中的重点、难点、堵点问题解决，</w:t>
            </w:r>
            <w:r>
              <w:rPr>
                <w:rFonts w:hint="eastAsia" w:ascii="仿宋_GB2312" w:hAnsi="仿宋_GB2312" w:eastAsia="仿宋_GB2312" w:cs="仿宋_GB2312"/>
                <w:bCs/>
                <w:color w:val="auto"/>
                <w:spacing w:val="6"/>
                <w:szCs w:val="28"/>
                <w:lang w:eastAsia="zh-CN"/>
              </w:rPr>
              <w:t>双井街道与北京广播电视台新媒体端北京时间《向前一步走》栏目组深度合作，</w:t>
            </w:r>
            <w:r>
              <w:rPr>
                <w:rFonts w:hint="default" w:ascii="Times New Roman" w:hAnsi="Times New Roman" w:eastAsia="仿宋_GB2312" w:cs="Times New Roman"/>
                <w:bCs/>
                <w:spacing w:val="6"/>
                <w:sz w:val="24"/>
                <w:szCs w:val="24"/>
                <w:lang w:val="en-US" w:eastAsia="zh-CN"/>
              </w:rPr>
              <w:t>《向前一步》节目主持人马丁直接牵头，</w:t>
            </w:r>
            <w:r>
              <w:rPr>
                <w:rFonts w:hint="eastAsia" w:ascii="Times New Roman" w:hAnsi="Times New Roman" w:eastAsia="仿宋_GB2312" w:cs="Times New Roman"/>
                <w:bCs/>
                <w:spacing w:val="6"/>
                <w:sz w:val="24"/>
                <w:szCs w:val="24"/>
                <w:lang w:val="en-US" w:eastAsia="zh-CN"/>
              </w:rPr>
              <w:t>不仅挂牌成立了</w:t>
            </w:r>
            <w:r>
              <w:rPr>
                <w:rFonts w:hint="default" w:ascii="Times New Roman" w:hAnsi="Times New Roman" w:eastAsia="仿宋_GB2312" w:cs="Times New Roman"/>
                <w:bCs/>
                <w:spacing w:val="6"/>
                <w:sz w:val="24"/>
                <w:szCs w:val="24"/>
                <w:lang w:val="en-US" w:eastAsia="zh-CN"/>
              </w:rPr>
              <w:t>集直播、演播、议事、录制为一体的全媒体</w:t>
            </w:r>
            <w:r>
              <w:rPr>
                <w:rFonts w:hint="eastAsia" w:ascii="Times New Roman" w:hAnsi="Times New Roman" w:eastAsia="仿宋_GB2312" w:cs="Times New Roman"/>
                <w:bCs/>
                <w:spacing w:val="6"/>
                <w:sz w:val="24"/>
                <w:szCs w:val="24"/>
                <w:lang w:val="en-US" w:eastAsia="zh-CN"/>
              </w:rPr>
              <w:t>实体直播间，还</w:t>
            </w:r>
            <w:r>
              <w:rPr>
                <w:rFonts w:hint="default" w:ascii="Times New Roman" w:hAnsi="Times New Roman" w:eastAsia="仿宋_GB2312" w:cs="Times New Roman"/>
                <w:bCs/>
                <w:spacing w:val="6"/>
                <w:sz w:val="24"/>
                <w:szCs w:val="24"/>
                <w:lang w:val="en-US" w:eastAsia="zh-CN"/>
              </w:rPr>
              <w:t>依托此平台</w:t>
            </w:r>
            <w:r>
              <w:rPr>
                <w:rFonts w:hint="eastAsia" w:ascii="Times New Roman" w:hAnsi="Times New Roman" w:eastAsia="仿宋_GB2312" w:cs="Times New Roman"/>
                <w:bCs/>
                <w:spacing w:val="6"/>
                <w:sz w:val="24"/>
                <w:szCs w:val="24"/>
                <w:lang w:val="en-US" w:eastAsia="zh-CN"/>
              </w:rPr>
              <w:t>打</w:t>
            </w:r>
            <w:r>
              <w:rPr>
                <w:rFonts w:hint="eastAsia" w:ascii="仿宋_GB2312" w:hAnsi="仿宋_GB2312" w:eastAsia="仿宋_GB2312" w:cs="仿宋_GB2312"/>
                <w:bCs/>
                <w:color w:val="auto"/>
                <w:spacing w:val="6"/>
                <w:szCs w:val="28"/>
                <w:lang w:eastAsia="zh-CN"/>
              </w:rPr>
              <w:t>造了线上的“居民议事厅”，</w:t>
            </w:r>
            <w:r>
              <w:rPr>
                <w:rFonts w:hint="eastAsia" w:ascii="仿宋_GB2312" w:hAnsi="仿宋_GB2312" w:eastAsia="仿宋_GB2312" w:cs="仿宋_GB2312"/>
                <w:bCs/>
                <w:color w:val="auto"/>
                <w:spacing w:val="6"/>
                <w:szCs w:val="28"/>
              </w:rPr>
              <w:t>助力实现“接诉即办”向“未诉先办”的转变，将矛盾纠纷有效化解在基层一线</w:t>
            </w:r>
            <w:r>
              <w:rPr>
                <w:rFonts w:hint="eastAsia" w:ascii="仿宋_GB2312" w:hAnsi="仿宋_GB2312" w:eastAsia="仿宋_GB2312" w:cs="仿宋_GB2312"/>
                <w:bCs/>
                <w:color w:val="auto"/>
                <w:spacing w:val="6"/>
                <w:szCs w:val="28"/>
                <w:lang w:eastAsia="zh-CN"/>
              </w:rPr>
              <w:t>。</w:t>
            </w:r>
          </w:p>
        </w:tc>
      </w:tr>
      <w:tr w14:paraId="1367E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04CAEA2F">
            <w:pPr>
              <w:keepNext w:val="0"/>
              <w:keepLines w:val="0"/>
              <w:pageBreakBefore w:val="0"/>
              <w:widowControl w:val="0"/>
              <w:kinsoku/>
              <w:wordWrap w:val="0"/>
              <w:topLinePunct w:val="0"/>
              <w:autoSpaceDE/>
              <w:autoSpaceDN/>
              <w:bidi w:val="0"/>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0C3ECCDE">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刘盈汛</w:t>
            </w:r>
          </w:p>
        </w:tc>
        <w:tc>
          <w:tcPr>
            <w:tcW w:w="1073" w:type="dxa"/>
            <w:vAlign w:val="center"/>
          </w:tcPr>
          <w:p w14:paraId="27F276E9">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43130EA2">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rPr>
            </w:pPr>
            <w:r>
              <w:rPr>
                <w:rFonts w:hint="eastAsia" w:ascii="仿宋_GB2312" w:hAnsi="仿宋_GB2312" w:eastAsia="仿宋_GB2312" w:cs="仿宋_GB2312"/>
                <w:lang w:eastAsia="zh-CN"/>
              </w:rPr>
              <w:t>双井街道团干部</w:t>
            </w:r>
          </w:p>
        </w:tc>
      </w:tr>
      <w:tr w14:paraId="26730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8" w:type="dxa"/>
            <w:vAlign w:val="center"/>
          </w:tcPr>
          <w:p w14:paraId="7DF717CC">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0CEF213A">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eastAsia="方正仿宋简体" w:cs="Times New Roman"/>
                <w:color w:val="auto"/>
                <w:lang w:val="en-US" w:eastAsia="zh-CN"/>
              </w:rPr>
              <w:t>87759541</w:t>
            </w:r>
          </w:p>
        </w:tc>
        <w:tc>
          <w:tcPr>
            <w:tcW w:w="1073" w:type="dxa"/>
            <w:vAlign w:val="center"/>
          </w:tcPr>
          <w:p w14:paraId="19456363">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61AA66CA">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lang w:val="en-US" w:eastAsia="zh-CN"/>
              </w:rPr>
            </w:pPr>
            <w:r>
              <w:rPr>
                <w:rFonts w:hint="eastAsia" w:eastAsia="方正仿宋简体" w:cs="Times New Roman"/>
                <w:color w:val="auto"/>
                <w:lang w:val="en-US" w:eastAsia="zh-CN"/>
              </w:rPr>
              <w:t>1152143128</w:t>
            </w:r>
          </w:p>
        </w:tc>
      </w:tr>
    </w:tbl>
    <w:p w14:paraId="3846C327">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71E168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FD79F21">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605E686">
            <w:pPr>
              <w:keepNext w:val="0"/>
              <w:keepLines w:val="0"/>
              <w:pageBreakBefore w:val="0"/>
              <w:widowControl w:val="0"/>
              <w:kinsoku/>
              <w:wordWrap w:val="0"/>
              <w:topLinePunct w:val="0"/>
              <w:autoSpaceDE/>
              <w:autoSpaceDN/>
              <w:bidi w:val="0"/>
              <w:adjustRightInd w:val="0"/>
              <w:snapToGrid w:val="0"/>
              <w:jc w:val="both"/>
              <w:rPr>
                <w:rFonts w:hint="eastAsia" w:ascii="仿宋_GB2312" w:hAnsi="仿宋_GB2312" w:eastAsia="仿宋_GB2312" w:cs="仿宋_GB2312"/>
                <w:b w:val="0"/>
                <w:color w:val="000000"/>
              </w:rPr>
            </w:pPr>
            <w:r>
              <w:rPr>
                <w:rFonts w:hint="eastAsia" w:ascii="仿宋_GB2312" w:hAnsi="仿宋_GB2312" w:eastAsia="仿宋_GB2312" w:cs="仿宋_GB2312"/>
                <w:bCs/>
                <w:spacing w:val="6"/>
                <w:szCs w:val="28"/>
                <w:lang w:val="en-US" w:eastAsia="zh-CN"/>
              </w:rPr>
              <w:t>线上公共领域构建与青年参与—对双井“向前一步走”直播间的个案考察</w:t>
            </w:r>
          </w:p>
        </w:tc>
      </w:tr>
      <w:tr w14:paraId="76AB90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B537E16">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8895297">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 w:val="0"/>
                <w:color w:val="000000"/>
              </w:rPr>
            </w:pPr>
            <w:r>
              <w:rPr>
                <w:rFonts w:hint="eastAsia" w:ascii="仿宋_GB2312" w:hAnsi="仿宋_GB2312" w:eastAsia="仿宋_GB2312" w:cs="仿宋_GB2312"/>
                <w:lang w:eastAsia="zh-CN"/>
              </w:rPr>
              <w:t>社会治理</w:t>
            </w:r>
          </w:p>
        </w:tc>
      </w:tr>
      <w:tr w14:paraId="0B7007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4B09E78">
            <w:pPr>
              <w:keepNext w:val="0"/>
              <w:keepLines w:val="0"/>
              <w:pageBreakBefore w:val="0"/>
              <w:widowControl w:val="0"/>
              <w:kinsoku/>
              <w:wordWrap w:val="0"/>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A39C0AA">
            <w:pPr>
              <w:keepNext w:val="0"/>
              <w:keepLines w:val="0"/>
              <w:pageBreakBefore w:val="0"/>
              <w:widowControl w:val="0"/>
              <w:kinsoku/>
              <w:wordWrap w:val="0"/>
              <w:topLinePunct w:val="0"/>
              <w:autoSpaceDE/>
              <w:autoSpaceDN/>
              <w:bidi w:val="0"/>
              <w:adjustRightInd w:val="0"/>
              <w:snapToGrid w:val="0"/>
              <w:ind w:firstLine="480" w:firstLineChars="200"/>
              <w:textAlignment w:val="auto"/>
              <w:rPr>
                <w:rFonts w:hint="eastAsia"/>
                <w:lang w:val="en-US" w:eastAsia="zh-CN"/>
              </w:rPr>
            </w:pPr>
          </w:p>
          <w:p w14:paraId="058B32CC">
            <w:pPr>
              <w:keepNext w:val="0"/>
              <w:keepLines w:val="0"/>
              <w:pageBreakBefore w:val="0"/>
              <w:widowControl w:val="0"/>
              <w:kinsoku/>
              <w:wordWrap w:val="0"/>
              <w:topLinePunct w:val="0"/>
              <w:autoSpaceDE/>
              <w:autoSpaceDN/>
              <w:bidi w:val="0"/>
              <w:adjustRightInd w:val="0"/>
              <w:snapToGrid w:val="0"/>
              <w:ind w:firstLine="504" w:firstLineChars="200"/>
              <w:textAlignment w:val="auto"/>
              <w:rPr>
                <w:rFonts w:hint="eastAsia" w:ascii="仿宋_GB2312" w:hAnsi="仿宋_GB2312" w:eastAsia="仿宋_GB2312" w:cs="仿宋_GB2312"/>
                <w:bCs/>
                <w:spacing w:val="6"/>
                <w:szCs w:val="28"/>
                <w:lang w:val="en-US" w:eastAsia="zh-CN"/>
              </w:rPr>
            </w:pPr>
            <w:r>
              <w:rPr>
                <w:rFonts w:hint="eastAsia" w:ascii="仿宋_GB2312" w:hAnsi="仿宋_GB2312" w:eastAsia="仿宋_GB2312" w:cs="仿宋_GB2312"/>
                <w:bCs/>
                <w:spacing w:val="6"/>
                <w:szCs w:val="28"/>
                <w:lang w:val="en-US" w:eastAsia="zh-CN"/>
              </w:rPr>
              <w:t>“向前一步走”双井直播间是双井街道与北京广播电视台新媒体端北京时间《向前一步走》栏目组深度合作打造的民生服务平台，</w:t>
            </w:r>
            <w:r>
              <w:rPr>
                <w:rFonts w:hint="default" w:ascii="仿宋_GB2312" w:hAnsi="仿宋_GB2312" w:eastAsia="仿宋_GB2312" w:cs="仿宋_GB2312"/>
                <w:bCs/>
                <w:spacing w:val="6"/>
                <w:szCs w:val="28"/>
                <w:lang w:eastAsia="zh-CN"/>
              </w:rPr>
              <w:t>《向前一步》节目主持人马丁亲自牵头，</w:t>
            </w:r>
            <w:r>
              <w:rPr>
                <w:rFonts w:hint="eastAsia" w:ascii="仿宋_GB2312" w:hAnsi="仿宋_GB2312" w:eastAsia="仿宋_GB2312" w:cs="仿宋_GB2312"/>
                <w:bCs/>
                <w:spacing w:val="6"/>
                <w:szCs w:val="28"/>
                <w:lang w:val="en-US" w:eastAsia="zh-CN"/>
              </w:rPr>
              <w:t>广泛邀请居民群众、人大代表、政协委员、律师等多方力量共同参与，围绕双井街道居民最关切的需求，精准筛选议题，形成了五大核心板块，分别为小区权属与邻里矛盾、基础设施保障类、公共空间治理类、安全宣传教育类、老旧小区更新类。</w:t>
            </w:r>
          </w:p>
          <w:p w14:paraId="5944C342">
            <w:pPr>
              <w:keepNext w:val="0"/>
              <w:keepLines w:val="0"/>
              <w:pageBreakBefore w:val="0"/>
              <w:widowControl w:val="0"/>
              <w:kinsoku/>
              <w:wordWrap w:val="0"/>
              <w:topLinePunct w:val="0"/>
              <w:autoSpaceDE/>
              <w:autoSpaceDN/>
              <w:bidi w:val="0"/>
              <w:adjustRightInd w:val="0"/>
              <w:snapToGrid w:val="0"/>
              <w:ind w:firstLine="504" w:firstLineChars="200"/>
              <w:textAlignment w:val="auto"/>
              <w:rPr>
                <w:rFonts w:hint="eastAsia" w:ascii="仿宋_GB2312" w:hAnsi="仿宋_GB2312" w:eastAsia="仿宋_GB2312" w:cs="仿宋_GB2312"/>
                <w:bCs/>
                <w:spacing w:val="6"/>
                <w:szCs w:val="28"/>
                <w:lang w:val="en-US" w:eastAsia="zh-CN"/>
              </w:rPr>
            </w:pPr>
            <w:r>
              <w:rPr>
                <w:rFonts w:hint="eastAsia" w:ascii="仿宋_GB2312" w:hAnsi="仿宋_GB2312" w:eastAsia="仿宋_GB2312" w:cs="仿宋_GB2312"/>
                <w:bCs/>
                <w:spacing w:val="6"/>
                <w:szCs w:val="28"/>
                <w:lang w:val="en-US" w:eastAsia="zh-CN"/>
              </w:rPr>
              <w:t>通过电话连线、现场采访、跟踪报道、在线答疑等多种形式，深入探讨并推动社区治理中的重点、难点、堵点问题解决，助力实现“接诉即办”向“未诉先办”的转变，将矛盾纠纷有效化解在基层一线。</w:t>
            </w:r>
          </w:p>
          <w:p w14:paraId="3DF6FD87">
            <w:pPr>
              <w:keepNext w:val="0"/>
              <w:keepLines w:val="0"/>
              <w:pageBreakBefore w:val="0"/>
              <w:widowControl w:val="0"/>
              <w:kinsoku/>
              <w:wordWrap w:val="0"/>
              <w:topLinePunct w:val="0"/>
              <w:autoSpaceDE/>
              <w:autoSpaceDN/>
              <w:bidi w:val="0"/>
              <w:adjustRightInd w:val="0"/>
              <w:snapToGrid w:val="0"/>
              <w:ind w:firstLine="504" w:firstLineChars="200"/>
              <w:textAlignment w:val="auto"/>
              <w:rPr>
                <w:rFonts w:hint="eastAsia" w:ascii="仿宋_GB2312" w:hAnsi="仿宋_GB2312" w:eastAsia="仿宋_GB2312" w:cs="仿宋_GB2312"/>
                <w:bCs/>
                <w:spacing w:val="6"/>
                <w:szCs w:val="28"/>
                <w:lang w:val="en-US" w:eastAsia="zh-CN"/>
              </w:rPr>
            </w:pPr>
            <w:r>
              <w:rPr>
                <w:rFonts w:hint="default" w:ascii="仿宋_GB2312" w:hAnsi="仿宋_GB2312" w:eastAsia="仿宋_GB2312" w:cs="仿宋_GB2312"/>
                <w:bCs/>
                <w:spacing w:val="6"/>
                <w:szCs w:val="28"/>
                <w:lang w:val="en-US" w:eastAsia="zh-CN"/>
              </w:rPr>
              <w:t>在直播间平台的实际运行中，双井街道的</w:t>
            </w:r>
            <w:r>
              <w:rPr>
                <w:rFonts w:hint="eastAsia" w:ascii="仿宋_GB2312" w:hAnsi="仿宋_GB2312" w:eastAsia="仿宋_GB2312" w:cs="仿宋_GB2312"/>
                <w:bCs/>
                <w:spacing w:val="6"/>
                <w:szCs w:val="28"/>
                <w:lang w:val="en-US" w:eastAsia="zh-CN"/>
              </w:rPr>
              <w:t>青年群体</w:t>
            </w:r>
            <w:r>
              <w:rPr>
                <w:rFonts w:hint="default" w:ascii="仿宋_GB2312" w:hAnsi="仿宋_GB2312" w:eastAsia="仿宋_GB2312" w:cs="仿宋_GB2312"/>
                <w:bCs/>
                <w:spacing w:val="6"/>
                <w:szCs w:val="28"/>
                <w:lang w:val="en-US" w:eastAsia="zh-CN"/>
              </w:rPr>
              <w:t>广泛</w:t>
            </w:r>
            <w:r>
              <w:rPr>
                <w:rFonts w:hint="eastAsia" w:ascii="仿宋_GB2312" w:hAnsi="仿宋_GB2312" w:eastAsia="仿宋_GB2312" w:cs="仿宋_GB2312"/>
                <w:bCs/>
                <w:spacing w:val="6"/>
                <w:szCs w:val="28"/>
                <w:lang w:val="en-US" w:eastAsia="zh-CN"/>
              </w:rPr>
              <w:t>参与</w:t>
            </w:r>
            <w:r>
              <w:rPr>
                <w:rFonts w:hint="default" w:ascii="仿宋_GB2312" w:hAnsi="仿宋_GB2312" w:eastAsia="仿宋_GB2312" w:cs="仿宋_GB2312"/>
                <w:bCs/>
                <w:spacing w:val="6"/>
                <w:szCs w:val="28"/>
                <w:lang w:val="en-US" w:eastAsia="zh-CN"/>
              </w:rPr>
              <w:t>，以超前的科技理念、灵活的节目形式、青春的创新智慧，</w:t>
            </w:r>
            <w:r>
              <w:rPr>
                <w:rFonts w:hint="eastAsia" w:ascii="仿宋_GB2312" w:hAnsi="仿宋_GB2312" w:eastAsia="仿宋_GB2312" w:cs="仿宋_GB2312"/>
                <w:bCs/>
                <w:spacing w:val="6"/>
                <w:szCs w:val="28"/>
                <w:lang w:val="en-US" w:eastAsia="zh-CN"/>
              </w:rPr>
              <w:t>通过双井直播间等线上平台，加入到居民议事行列，既能传递年轻一代创新观念，用新角度审视老旧问题</w:t>
            </w:r>
            <w:r>
              <w:rPr>
                <w:rFonts w:hint="default" w:ascii="仿宋_GB2312" w:hAnsi="仿宋_GB2312" w:eastAsia="仿宋_GB2312" w:cs="仿宋_GB2312"/>
                <w:bCs/>
                <w:spacing w:val="6"/>
                <w:szCs w:val="28"/>
                <w:lang w:val="en-US" w:eastAsia="zh-CN"/>
              </w:rPr>
              <w:t>，</w:t>
            </w:r>
            <w:r>
              <w:rPr>
                <w:rFonts w:hint="eastAsia" w:ascii="仿宋_GB2312" w:hAnsi="仿宋_GB2312" w:eastAsia="仿宋_GB2312" w:cs="仿宋_GB2312"/>
                <w:bCs/>
                <w:spacing w:val="6"/>
                <w:szCs w:val="28"/>
                <w:lang w:val="en-US" w:eastAsia="zh-CN"/>
              </w:rPr>
              <w:t>又能激发青年活力，扩大居民议事的影响力，激发“主人翁”意识，进一步构建</w:t>
            </w:r>
            <w:r>
              <w:rPr>
                <w:rFonts w:hint="default" w:ascii="仿宋_GB2312" w:hAnsi="仿宋_GB2312" w:eastAsia="仿宋_GB2312" w:cs="仿宋_GB2312"/>
                <w:bCs/>
                <w:spacing w:val="6"/>
                <w:szCs w:val="28"/>
                <w:lang w:val="en-US" w:eastAsia="zh-CN"/>
              </w:rPr>
              <w:t>成立了青年主体参与的</w:t>
            </w:r>
            <w:r>
              <w:rPr>
                <w:rFonts w:hint="eastAsia" w:ascii="仿宋_GB2312" w:hAnsi="仿宋_GB2312" w:eastAsia="仿宋_GB2312" w:cs="仿宋_GB2312"/>
                <w:bCs/>
                <w:spacing w:val="6"/>
                <w:szCs w:val="28"/>
                <w:lang w:val="en-US" w:eastAsia="zh-CN"/>
              </w:rPr>
              <w:t>线上公共领域</w:t>
            </w:r>
            <w:r>
              <w:rPr>
                <w:rFonts w:hint="default" w:ascii="仿宋_GB2312" w:hAnsi="仿宋_GB2312" w:eastAsia="仿宋_GB2312" w:cs="仿宋_GB2312"/>
                <w:bCs/>
                <w:spacing w:val="6"/>
                <w:szCs w:val="28"/>
                <w:lang w:val="en-US" w:eastAsia="zh-CN"/>
              </w:rPr>
              <w:t>治理体系，全面助力了街道</w:t>
            </w:r>
            <w:r>
              <w:rPr>
                <w:rFonts w:hint="eastAsia" w:ascii="仿宋_GB2312" w:hAnsi="仿宋_GB2312" w:eastAsia="仿宋_GB2312" w:cs="仿宋_GB2312"/>
                <w:bCs/>
                <w:spacing w:val="6"/>
                <w:szCs w:val="28"/>
                <w:lang w:val="en-US" w:eastAsia="zh-CN"/>
              </w:rPr>
              <w:t>社区治理民主实践的深化，更</w:t>
            </w:r>
            <w:r>
              <w:rPr>
                <w:rFonts w:hint="default" w:ascii="仿宋_GB2312" w:hAnsi="仿宋_GB2312" w:eastAsia="仿宋_GB2312" w:cs="仿宋_GB2312"/>
                <w:bCs/>
                <w:spacing w:val="6"/>
                <w:szCs w:val="28"/>
                <w:lang w:val="en-US" w:eastAsia="zh-CN"/>
              </w:rPr>
              <w:t>成为街道</w:t>
            </w:r>
            <w:r>
              <w:rPr>
                <w:rFonts w:hint="eastAsia" w:ascii="仿宋_GB2312" w:hAnsi="仿宋_GB2312" w:eastAsia="仿宋_GB2312" w:cs="仿宋_GB2312"/>
                <w:bCs/>
                <w:spacing w:val="6"/>
                <w:szCs w:val="28"/>
                <w:lang w:val="en-US" w:eastAsia="zh-CN"/>
              </w:rPr>
              <w:t>社会创新与可持续发展的关键动力。</w:t>
            </w:r>
          </w:p>
          <w:p w14:paraId="085B5E03">
            <w:pPr>
              <w:pStyle w:val="10"/>
              <w:keepNext w:val="0"/>
              <w:keepLines w:val="0"/>
              <w:pageBreakBefore w:val="0"/>
              <w:widowControl w:val="0"/>
              <w:kinsoku/>
              <w:wordWrap w:val="0"/>
              <w:topLinePunct w:val="0"/>
              <w:autoSpaceDE/>
              <w:autoSpaceDN/>
              <w:bidi w:val="0"/>
              <w:textAlignment w:val="auto"/>
              <w:rPr>
                <w:rFonts w:hint="eastAsia"/>
                <w:lang w:val="en-US" w:eastAsia="zh-CN"/>
              </w:rPr>
            </w:pPr>
          </w:p>
        </w:tc>
      </w:tr>
      <w:tr w14:paraId="5C5C03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1406FBD">
            <w:pPr>
              <w:keepNext w:val="0"/>
              <w:keepLines w:val="0"/>
              <w:pageBreakBefore w:val="0"/>
              <w:widowControl w:val="0"/>
              <w:kinsoku/>
              <w:wordWrap w:val="0"/>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1C63A31">
            <w:pPr>
              <w:keepNext w:val="0"/>
              <w:keepLines w:val="0"/>
              <w:pageBreakBefore w:val="0"/>
              <w:widowControl w:val="0"/>
              <w:kinsoku/>
              <w:wordWrap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color w:val="000000"/>
              </w:rPr>
            </w:pPr>
            <w:r>
              <w:rPr>
                <w:rFonts w:hint="eastAsia" w:ascii="仿宋_GB2312" w:hAnsi="仿宋_GB2312" w:eastAsia="仿宋_GB2312" w:cs="仿宋_GB2312"/>
                <w:bCs/>
                <w:spacing w:val="6"/>
                <w:szCs w:val="28"/>
              </w:rPr>
              <w:t>针对项目需要形成</w:t>
            </w:r>
            <w:r>
              <w:rPr>
                <w:rFonts w:hint="eastAsia" w:ascii="仿宋_GB2312" w:hAnsi="仿宋_GB2312" w:eastAsia="仿宋_GB2312" w:cs="仿宋_GB2312"/>
                <w:bCs/>
                <w:spacing w:val="6"/>
                <w:szCs w:val="28"/>
                <w:lang w:eastAsia="zh-CN"/>
              </w:rPr>
              <w:t>一份</w:t>
            </w:r>
            <w:r>
              <w:rPr>
                <w:rFonts w:hint="eastAsia" w:ascii="仿宋_GB2312" w:hAnsi="仿宋_GB2312" w:eastAsia="仿宋_GB2312" w:cs="仿宋_GB2312"/>
                <w:bCs/>
                <w:spacing w:val="6"/>
                <w:szCs w:val="28"/>
              </w:rPr>
              <w:t>可行性分析报告，尝试探索下阶段</w:t>
            </w:r>
            <w:r>
              <w:rPr>
                <w:rFonts w:hint="eastAsia" w:ascii="仿宋_GB2312" w:hAnsi="仿宋_GB2312" w:eastAsia="仿宋_GB2312" w:cs="仿宋_GB2312"/>
                <w:bCs/>
                <w:spacing w:val="6"/>
                <w:szCs w:val="28"/>
                <w:lang w:eastAsia="zh-CN"/>
              </w:rPr>
              <w:t>如何更好的打造线上议事平台，让更多青年群体参与到居民议事中，为基层社会治理贡献青春力量。报告以规范化论文形式呈现。</w:t>
            </w:r>
          </w:p>
        </w:tc>
      </w:tr>
      <w:tr w14:paraId="436766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36A9E">
            <w:pPr>
              <w:keepNext w:val="0"/>
              <w:keepLines w:val="0"/>
              <w:pageBreakBefore w:val="0"/>
              <w:widowControl w:val="0"/>
              <w:kinsoku/>
              <w:wordWrap w:val="0"/>
              <w:overflowPunct w:val="0"/>
              <w:topLinePunct w:val="0"/>
              <w:autoSpaceDE/>
              <w:autoSpaceDN/>
              <w:bidi w:val="0"/>
              <w:adjustRightInd w:val="0"/>
              <w:snapToGrid w:val="0"/>
              <w:spacing w:line="240" w:lineRule="auto"/>
              <w:jc w:val="center"/>
              <w:textAlignment w:val="auto"/>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58168E4E">
            <w:pPr>
              <w:keepNext w:val="0"/>
              <w:keepLines w:val="0"/>
              <w:pageBreakBefore w:val="0"/>
              <w:widowControl w:val="0"/>
              <w:kinsoku/>
              <w:wordWrap w:val="0"/>
              <w:overflowPunct w:val="0"/>
              <w:topLinePunct w:val="0"/>
              <w:autoSpaceDE/>
              <w:autoSpaceDN/>
              <w:bidi w:val="0"/>
              <w:adjustRightInd w:val="0"/>
              <w:snapToGrid w:val="0"/>
              <w:spacing w:line="240" w:lineRule="auto"/>
              <w:jc w:val="center"/>
              <w:textAlignment w:val="auto"/>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40450">
            <w:pPr>
              <w:keepNext w:val="0"/>
              <w:keepLines w:val="0"/>
              <w:pageBreakBefore w:val="0"/>
              <w:widowControl w:val="0"/>
              <w:kinsoku/>
              <w:wordWrap w:val="0"/>
              <w:overflowPunct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u w:val="none"/>
                <w:lang w:eastAsia="zh-CN"/>
              </w:rPr>
            </w:pPr>
            <w:r>
              <w:rPr>
                <w:rFonts w:hint="eastAsia" w:ascii="仿宋_GB2312" w:hAnsi="仿宋_GB2312" w:eastAsia="仿宋_GB2312" w:cs="仿宋_GB2312"/>
                <w:b w:val="0"/>
                <w:bCs/>
                <w:color w:val="000000"/>
                <w:spacing w:val="6"/>
                <w:szCs w:val="28"/>
                <w:u w:val="none"/>
                <w:lang w:eastAsia="zh-CN"/>
              </w:rPr>
              <w:t>无需对双井目前工作现状进行过多阐述，主要提出创新思路，更多呈现下一步如何打造吸引青年参与的线上议事平台。</w:t>
            </w:r>
          </w:p>
        </w:tc>
      </w:tr>
      <w:tr w14:paraId="077B18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F611C2F">
            <w:pPr>
              <w:keepNext w:val="0"/>
              <w:keepLines w:val="0"/>
              <w:pageBreakBefore w:val="0"/>
              <w:widowControl w:val="0"/>
              <w:kinsoku/>
              <w:wordWrap w:val="0"/>
              <w:overflowPunct w:val="0"/>
              <w:topLinePunct w:val="0"/>
              <w:autoSpaceDE/>
              <w:autoSpaceDN/>
              <w:bidi w:val="0"/>
              <w:adjustRightInd w:val="0"/>
              <w:snapToGrid w:val="0"/>
              <w:spacing w:line="240" w:lineRule="auto"/>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5950636">
            <w:pPr>
              <w:keepNext w:val="0"/>
              <w:keepLines w:val="0"/>
              <w:pageBreakBefore w:val="0"/>
              <w:widowControl w:val="0"/>
              <w:kinsoku/>
              <w:wordWrap w:val="0"/>
              <w:overflowPunct w:val="0"/>
              <w:topLinePunct w:val="0"/>
              <w:autoSpaceDE/>
              <w:autoSpaceDN/>
              <w:bidi w:val="0"/>
              <w:adjustRightInd w:val="0"/>
              <w:snapToGrid w:val="0"/>
              <w:jc w:val="center"/>
              <w:textAlignment w:val="auto"/>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color w:val="000000"/>
                <w:u w:val="none"/>
                <w:lang w:eastAsia="zh-CN"/>
              </w:rPr>
              <w:t>无</w:t>
            </w:r>
          </w:p>
        </w:tc>
      </w:tr>
    </w:tbl>
    <w:p w14:paraId="282E1330">
      <w:pPr>
        <w:keepNext w:val="0"/>
        <w:keepLines w:val="0"/>
        <w:pageBreakBefore w:val="0"/>
        <w:widowControl w:val="0"/>
        <w:kinsoku/>
        <w:wordWrap w:val="0"/>
        <w:topLinePunct w:val="0"/>
        <w:autoSpaceDE/>
        <w:autoSpaceDN/>
        <w:bidi w:val="0"/>
        <w:textAlignment w:val="auto"/>
        <w:rPr>
          <w:rFonts w:hint="eastAsia" w:ascii="方正黑体简体" w:hAnsi="Times New Roman" w:eastAsia="方正黑体简体" w:cs="Times New Roman"/>
          <w:bCs/>
          <w:color w:val="auto"/>
          <w:spacing w:val="6"/>
          <w:sz w:val="32"/>
          <w:szCs w:val="32"/>
        </w:rPr>
      </w:pPr>
      <w:r>
        <w:rPr>
          <w:rFonts w:hint="eastAsia" w:ascii="方正黑体简体" w:eastAsia="方正黑体简体"/>
          <w:bCs/>
          <w:color w:val="auto"/>
          <w:spacing w:val="6"/>
          <w:sz w:val="32"/>
          <w:szCs w:val="32"/>
          <w:lang w:val="en-US" w:eastAsia="zh-CN"/>
        </w:rPr>
        <w:t>三</w:t>
      </w:r>
      <w:r>
        <w:rPr>
          <w:rFonts w:hint="eastAsia" w:ascii="方正黑体简体" w:hAnsi="Times New Roman" w:eastAsia="方正黑体简体" w:cs="Times New Roman"/>
          <w:bCs/>
          <w:color w:val="auto"/>
          <w:spacing w:val="6"/>
          <w:sz w:val="32"/>
          <w:szCs w:val="32"/>
        </w:rPr>
        <w:t>、激励保障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BA741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312F4D3">
            <w:pPr>
              <w:keepNext w:val="0"/>
              <w:keepLines w:val="0"/>
              <w:pageBreakBefore w:val="0"/>
              <w:widowControl w:val="0"/>
              <w:kinsoku/>
              <w:wordWrap w:val="0"/>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921EE3D">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rPr>
            </w:pPr>
            <w:r>
              <w:rPr>
                <w:rFonts w:hint="eastAsia" w:ascii="Times New Roman" w:hAnsi="Times New Roman" w:eastAsia="仿宋_GB2312" w:cs="Times New Roman"/>
                <w:bCs/>
                <w:spacing w:val="6"/>
                <w:sz w:val="24"/>
                <w:szCs w:val="24"/>
                <w:lang w:val="en-US" w:eastAsia="zh-CN"/>
              </w:rPr>
              <w:t>在项目开展过程中，参赛队伍可</w:t>
            </w:r>
            <w:r>
              <w:rPr>
                <w:rFonts w:hint="eastAsia" w:ascii="Times New Roman" w:hAnsi="Times New Roman" w:eastAsia="仿宋_GB2312" w:cs="Times New Roman"/>
                <w:bCs/>
                <w:spacing w:val="6"/>
                <w:sz w:val="24"/>
                <w:szCs w:val="24"/>
                <w:lang w:val="en-US"/>
              </w:rPr>
              <w:t>参观应用场景、实践调研等，揭榜确认后</w:t>
            </w:r>
            <w:r>
              <w:rPr>
                <w:rFonts w:hint="eastAsia" w:ascii="Times New Roman" w:hAnsi="Times New Roman" w:eastAsia="仿宋_GB2312" w:cs="Times New Roman"/>
                <w:bCs/>
                <w:spacing w:val="6"/>
                <w:sz w:val="24"/>
                <w:szCs w:val="24"/>
                <w:lang w:val="en-US" w:eastAsia="zh-CN"/>
              </w:rPr>
              <w:t>确定每周固定调研时间，与北京电视台</w:t>
            </w:r>
            <w:r>
              <w:rPr>
                <w:rFonts w:hint="eastAsia" w:ascii="仿宋_GB2312" w:hAnsi="仿宋_GB2312" w:eastAsia="仿宋_GB2312" w:cs="仿宋_GB2312"/>
                <w:bCs/>
                <w:color w:val="auto"/>
                <w:spacing w:val="6"/>
                <w:szCs w:val="28"/>
                <w:lang w:eastAsia="zh-CN"/>
              </w:rPr>
              <w:t>《向前一步走》栏目组工作人员面对面交流。</w:t>
            </w:r>
          </w:p>
        </w:tc>
      </w:tr>
      <w:tr w14:paraId="0C52B8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A33C31B">
            <w:pPr>
              <w:keepNext w:val="0"/>
              <w:keepLines w:val="0"/>
              <w:pageBreakBefore w:val="0"/>
              <w:widowControl w:val="0"/>
              <w:kinsoku/>
              <w:wordWrap w:val="0"/>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7547166">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Times New Roman" w:hAnsi="Times New Roman" w:eastAsia="仿宋_GB2312" w:cs="Times New Roman"/>
                <w:bCs/>
                <w:spacing w:val="6"/>
                <w:sz w:val="24"/>
                <w:szCs w:val="24"/>
                <w:lang w:val="en-US" w:eastAsia="zh-CN"/>
              </w:rPr>
            </w:pPr>
            <w:r>
              <w:rPr>
                <w:rFonts w:hint="eastAsia" w:ascii="Times New Roman" w:hAnsi="Times New Roman" w:eastAsia="仿宋_GB2312" w:cs="Times New Roman"/>
                <w:bCs/>
                <w:spacing w:val="6"/>
                <w:sz w:val="24"/>
                <w:szCs w:val="24"/>
                <w:lang w:val="en-US" w:eastAsia="zh-CN"/>
              </w:rPr>
              <w:t>一、奖项设置</w:t>
            </w:r>
          </w:p>
          <w:p w14:paraId="7D0FE731">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Times New Roman" w:hAnsi="Times New Roman" w:eastAsia="仿宋_GB2312" w:cs="Times New Roman"/>
                <w:bCs/>
                <w:spacing w:val="6"/>
                <w:sz w:val="24"/>
                <w:szCs w:val="24"/>
                <w:lang w:val="en-US" w:eastAsia="zh-CN"/>
              </w:rPr>
            </w:pPr>
            <w:r>
              <w:rPr>
                <w:rFonts w:hint="eastAsia" w:ascii="Times New Roman" w:hAnsi="Times New Roman" w:eastAsia="仿宋_GB2312" w:cs="Times New Roman"/>
                <w:bCs/>
                <w:spacing w:val="6"/>
                <w:sz w:val="24"/>
                <w:szCs w:val="24"/>
                <w:lang w:val="en-US" w:eastAsia="zh-CN"/>
              </w:rPr>
              <w:t>原则上设“擂主”团队1个，根据实际情况评出相应的特等奖、一等奖、二等奖、三等奖项目若干。</w:t>
            </w:r>
          </w:p>
          <w:p w14:paraId="4153138B">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Times New Roman" w:hAnsi="Times New Roman" w:eastAsia="仿宋_GB2312" w:cs="Times New Roman"/>
                <w:bCs/>
                <w:spacing w:val="6"/>
                <w:sz w:val="24"/>
                <w:szCs w:val="24"/>
                <w:lang w:val="en-US" w:eastAsia="zh-CN"/>
              </w:rPr>
            </w:pPr>
            <w:r>
              <w:rPr>
                <w:rFonts w:hint="eastAsia" w:ascii="Times New Roman" w:hAnsi="Times New Roman" w:eastAsia="仿宋_GB2312" w:cs="Times New Roman"/>
                <w:bCs/>
                <w:spacing w:val="6"/>
                <w:sz w:val="24"/>
                <w:szCs w:val="24"/>
                <w:lang w:val="en-US" w:eastAsia="zh-CN"/>
              </w:rPr>
              <w:t>二、激励措施</w:t>
            </w:r>
          </w:p>
          <w:p w14:paraId="1C6AC6C1">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default" w:ascii="仿宋_GB2312" w:hAnsi="仿宋_GB2312" w:eastAsia="仿宋_GB2312" w:cs="仿宋_GB2312"/>
                <w:b w:val="0"/>
                <w:bCs/>
                <w:color w:val="000000"/>
                <w:spacing w:val="6"/>
                <w:szCs w:val="28"/>
                <w:lang w:val="en-US"/>
              </w:rPr>
            </w:pPr>
            <w:r>
              <w:rPr>
                <w:rFonts w:hint="eastAsia" w:ascii="Times New Roman" w:hAnsi="Times New Roman" w:eastAsia="仿宋_GB2312" w:cs="Times New Roman"/>
                <w:bCs/>
                <w:spacing w:val="6"/>
                <w:sz w:val="24"/>
                <w:szCs w:val="24"/>
                <w:lang w:val="en-US" w:eastAsia="zh-CN"/>
              </w:rPr>
              <w:t>结合获奖团队相关需求，可提供实习实践机会、产教融合以及学术项目调研支持</w:t>
            </w:r>
            <w:r>
              <w:rPr>
                <w:rFonts w:hint="eastAsia" w:eastAsia="仿宋_GB2312" w:cs="Times New Roman"/>
                <w:bCs/>
                <w:spacing w:val="6"/>
                <w:sz w:val="24"/>
                <w:szCs w:val="24"/>
                <w:lang w:val="en-US" w:eastAsia="zh-CN"/>
              </w:rPr>
              <w:t>。</w:t>
            </w:r>
          </w:p>
        </w:tc>
      </w:tr>
    </w:tbl>
    <w:p w14:paraId="776A4F4B">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09E4B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20A0936">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0543A">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Times New Roman" w:hAnsi="Times New Roman" w:eastAsia="仿宋_GB2312" w:cs="Times New Roman"/>
                <w:bCs/>
                <w:spacing w:val="6"/>
                <w:sz w:val="24"/>
                <w:szCs w:val="24"/>
                <w:lang w:val="en-US" w:eastAsia="zh-CN"/>
              </w:rPr>
              <w:t>本选题旨在引导参赛学生从技术应用与机制创新的视角，对“向前一步走”直播间这一线上居民议事平台进行考察。题目期望学生关注直播间、线上虚拟议事厅等</w:t>
            </w:r>
            <w:r>
              <w:rPr>
                <w:rFonts w:hint="default" w:ascii="Times New Roman" w:hAnsi="Times New Roman" w:eastAsia="仿宋_GB2312" w:cs="Times New Roman"/>
                <w:bCs/>
                <w:spacing w:val="6"/>
                <w:sz w:val="24"/>
                <w:szCs w:val="24"/>
                <w:lang w:val="en-US" w:eastAsia="zh-CN"/>
              </w:rPr>
              <w:t>全新</w:t>
            </w:r>
            <w:r>
              <w:rPr>
                <w:rFonts w:hint="eastAsia" w:ascii="Times New Roman" w:hAnsi="Times New Roman" w:eastAsia="仿宋_GB2312" w:cs="Times New Roman"/>
                <w:bCs/>
                <w:spacing w:val="6"/>
                <w:sz w:val="24"/>
                <w:szCs w:val="24"/>
                <w:lang w:val="en-US" w:eastAsia="zh-CN"/>
              </w:rPr>
              <w:t>技术工具，如何具体地</w:t>
            </w:r>
            <w:r>
              <w:rPr>
                <w:rFonts w:hint="default" w:ascii="Times New Roman" w:hAnsi="Times New Roman" w:eastAsia="仿宋_GB2312" w:cs="Times New Roman"/>
                <w:bCs/>
                <w:spacing w:val="6"/>
                <w:sz w:val="24"/>
                <w:szCs w:val="24"/>
                <w:lang w:val="en-US" w:eastAsia="zh-CN"/>
              </w:rPr>
              <w:t>应用到实际工作，</w:t>
            </w:r>
            <w:r>
              <w:rPr>
                <w:rFonts w:hint="eastAsia" w:ascii="Times New Roman" w:hAnsi="Times New Roman" w:eastAsia="仿宋_GB2312" w:cs="Times New Roman"/>
                <w:bCs/>
                <w:spacing w:val="6"/>
                <w:sz w:val="24"/>
                <w:szCs w:val="24"/>
                <w:lang w:val="en-US" w:eastAsia="zh-CN"/>
              </w:rPr>
              <w:t>改造传统社区议事流程，构建一个低门槛、即时性的参与空间。重点在于</w:t>
            </w:r>
            <w:r>
              <w:rPr>
                <w:rFonts w:hint="default" w:ascii="Times New Roman" w:hAnsi="Times New Roman" w:eastAsia="仿宋_GB2312" w:cs="Times New Roman"/>
                <w:bCs/>
                <w:spacing w:val="6"/>
                <w:sz w:val="24"/>
                <w:szCs w:val="24"/>
                <w:lang w:val="en-US" w:eastAsia="zh-CN"/>
              </w:rPr>
              <w:t>传统的议事手段在青年群体参与之后，如何赋予全新科技</w:t>
            </w:r>
            <w:r>
              <w:rPr>
                <w:rFonts w:hint="eastAsia" w:ascii="Times New Roman" w:hAnsi="Times New Roman" w:eastAsia="仿宋_GB2312" w:cs="Times New Roman"/>
                <w:bCs/>
                <w:spacing w:val="6"/>
                <w:sz w:val="24"/>
                <w:szCs w:val="24"/>
                <w:lang w:val="en-US" w:eastAsia="zh-CN"/>
              </w:rPr>
              <w:t>技术</w:t>
            </w:r>
            <w:r>
              <w:rPr>
                <w:rFonts w:hint="default" w:ascii="Times New Roman" w:hAnsi="Times New Roman" w:eastAsia="仿宋_GB2312" w:cs="Times New Roman"/>
                <w:bCs/>
                <w:spacing w:val="6"/>
                <w:sz w:val="24"/>
                <w:szCs w:val="24"/>
                <w:lang w:val="en-US" w:eastAsia="zh-CN"/>
              </w:rPr>
              <w:t>，</w:t>
            </w:r>
            <w:r>
              <w:rPr>
                <w:rFonts w:hint="eastAsia" w:ascii="Times New Roman" w:hAnsi="Times New Roman" w:eastAsia="仿宋_GB2312" w:cs="Times New Roman"/>
                <w:bCs/>
                <w:spacing w:val="6"/>
                <w:sz w:val="24"/>
                <w:szCs w:val="24"/>
                <w:lang w:val="en-US" w:eastAsia="zh-CN"/>
              </w:rPr>
              <w:t>促进</w:t>
            </w:r>
            <w:r>
              <w:rPr>
                <w:rFonts w:hint="default" w:ascii="Times New Roman" w:hAnsi="Times New Roman" w:eastAsia="仿宋_GB2312" w:cs="Times New Roman"/>
                <w:bCs/>
                <w:spacing w:val="6"/>
                <w:sz w:val="24"/>
                <w:szCs w:val="24"/>
                <w:lang w:val="en-US" w:eastAsia="zh-CN"/>
              </w:rPr>
              <w:t>无序</w:t>
            </w:r>
            <w:r>
              <w:rPr>
                <w:rFonts w:hint="eastAsia" w:ascii="Times New Roman" w:hAnsi="Times New Roman" w:eastAsia="仿宋_GB2312" w:cs="Times New Roman"/>
                <w:bCs/>
                <w:spacing w:val="6"/>
                <w:sz w:val="24"/>
                <w:szCs w:val="24"/>
                <w:lang w:val="en-US" w:eastAsia="zh-CN"/>
              </w:rPr>
              <w:t>个体意见表达转向有序的公共讨论。通过此案例，学生可以探究技术赋能下，基层民意收集、议题聚焦与反馈监督的闭环如何形成，从而理解数字化手段在推动治理精细化与民主协商过程中的实际作用与内在逻辑。</w:t>
            </w:r>
          </w:p>
        </w:tc>
      </w:tr>
      <w:tr w14:paraId="088E9D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27FBB">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1C674">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本选题侧重于引导学生评估此类线上公共参与模式所产生的综合效益。在社会效益层面，学生可探究</w:t>
            </w:r>
            <w:r>
              <w:rPr>
                <w:rFonts w:hint="eastAsia" w:ascii="仿宋_GB2312" w:hAnsi="仿宋_GB2312" w:eastAsia="仿宋_GB2312" w:cs="仿宋_GB2312"/>
                <w:b w:val="0"/>
                <w:bCs/>
                <w:color w:val="000000"/>
                <w:spacing w:val="6"/>
                <w:szCs w:val="28"/>
                <w:u w:val="none"/>
                <w:lang w:eastAsia="zh-CN"/>
              </w:rPr>
              <w:t>线上</w:t>
            </w:r>
            <w:r>
              <w:rPr>
                <w:rFonts w:hint="eastAsia" w:ascii="仿宋_GB2312" w:hAnsi="仿宋_GB2312" w:eastAsia="仿宋_GB2312" w:cs="仿宋_GB2312"/>
                <w:b w:val="0"/>
                <w:bCs/>
                <w:color w:val="000000"/>
                <w:spacing w:val="6"/>
                <w:szCs w:val="28"/>
                <w:u w:val="none"/>
              </w:rPr>
              <w:t>平台如何促进</w:t>
            </w:r>
            <w:r>
              <w:rPr>
                <w:rFonts w:hint="eastAsia" w:ascii="仿宋_GB2312" w:hAnsi="仿宋_GB2312" w:eastAsia="仿宋_GB2312" w:cs="仿宋_GB2312"/>
                <w:b w:val="0"/>
                <w:bCs/>
                <w:color w:val="000000"/>
                <w:spacing w:val="6"/>
                <w:szCs w:val="28"/>
                <w:u w:val="none"/>
                <w:lang w:eastAsia="zh-CN"/>
              </w:rPr>
              <w:t>青年群体等社区成员</w:t>
            </w:r>
            <w:r>
              <w:rPr>
                <w:rFonts w:hint="eastAsia" w:ascii="仿宋_GB2312" w:hAnsi="仿宋_GB2312" w:eastAsia="仿宋_GB2312" w:cs="仿宋_GB2312"/>
                <w:b w:val="0"/>
                <w:bCs/>
                <w:color w:val="000000"/>
                <w:spacing w:val="6"/>
                <w:szCs w:val="28"/>
                <w:u w:val="none"/>
              </w:rPr>
              <w:t>围绕公共事务开展理性对话，考察其在凝聚共识、化解矛盾、培育社区归属感方面的具体效果。在经济效益层面，题目鼓励学生关注该模式如何通过优化沟通效率降低行政成本，并分析其对于</w:t>
            </w:r>
            <w:r>
              <w:rPr>
                <w:rFonts w:hint="eastAsia" w:ascii="仿宋_GB2312" w:hAnsi="仿宋_GB2312" w:eastAsia="仿宋_GB2312" w:cs="仿宋_GB2312"/>
                <w:b w:val="0"/>
                <w:bCs/>
                <w:color w:val="000000"/>
                <w:spacing w:val="6"/>
                <w:szCs w:val="28"/>
                <w:u w:val="none"/>
                <w:lang w:eastAsia="zh-CN"/>
              </w:rPr>
              <w:t>规范</w:t>
            </w:r>
            <w:r>
              <w:rPr>
                <w:rFonts w:hint="eastAsia" w:ascii="仿宋_GB2312" w:hAnsi="仿宋_GB2312" w:eastAsia="仿宋_GB2312" w:cs="仿宋_GB2312"/>
                <w:b w:val="0"/>
                <w:bCs/>
                <w:color w:val="000000"/>
                <w:spacing w:val="6"/>
                <w:szCs w:val="28"/>
                <w:u w:val="none"/>
              </w:rPr>
              <w:t>社区</w:t>
            </w:r>
            <w:r>
              <w:rPr>
                <w:rFonts w:hint="eastAsia" w:ascii="仿宋_GB2312" w:hAnsi="仿宋_GB2312" w:eastAsia="仿宋_GB2312" w:cs="仿宋_GB2312"/>
                <w:b w:val="0"/>
                <w:bCs/>
                <w:color w:val="000000"/>
                <w:spacing w:val="6"/>
                <w:szCs w:val="28"/>
                <w:u w:val="none"/>
                <w:lang w:eastAsia="zh-CN"/>
              </w:rPr>
              <w:t>秩序</w:t>
            </w:r>
            <w:r>
              <w:rPr>
                <w:rFonts w:hint="eastAsia" w:ascii="仿宋_GB2312" w:hAnsi="仿宋_GB2312" w:eastAsia="仿宋_GB2312" w:cs="仿宋_GB2312"/>
                <w:b w:val="0"/>
                <w:bCs/>
                <w:color w:val="000000"/>
                <w:spacing w:val="6"/>
                <w:szCs w:val="28"/>
                <w:u w:val="none"/>
              </w:rPr>
              <w:t>、改善邻里关系</w:t>
            </w:r>
            <w:r>
              <w:rPr>
                <w:rFonts w:hint="eastAsia" w:ascii="仿宋_GB2312" w:hAnsi="仿宋_GB2312" w:eastAsia="仿宋_GB2312" w:cs="仿宋_GB2312"/>
                <w:b w:val="0"/>
                <w:bCs/>
                <w:color w:val="000000"/>
                <w:spacing w:val="6"/>
                <w:szCs w:val="28"/>
                <w:u w:val="none"/>
                <w:lang w:eastAsia="zh-CN"/>
              </w:rPr>
              <w:t>等</w:t>
            </w:r>
            <w:r>
              <w:rPr>
                <w:rFonts w:hint="eastAsia" w:ascii="仿宋_GB2312" w:hAnsi="仿宋_GB2312" w:eastAsia="仿宋_GB2312" w:cs="仿宋_GB2312"/>
                <w:b w:val="0"/>
                <w:bCs/>
                <w:color w:val="000000"/>
                <w:spacing w:val="6"/>
                <w:szCs w:val="28"/>
                <w:u w:val="none"/>
              </w:rPr>
              <w:t>所带来的间接与长期价值。通过对</w:t>
            </w:r>
            <w:r>
              <w:rPr>
                <w:rFonts w:hint="eastAsia" w:ascii="仿宋_GB2312" w:hAnsi="仿宋_GB2312" w:eastAsia="仿宋_GB2312" w:cs="仿宋_GB2312"/>
                <w:b w:val="0"/>
                <w:bCs/>
                <w:color w:val="000000"/>
                <w:spacing w:val="6"/>
                <w:szCs w:val="28"/>
                <w:u w:val="none"/>
                <w:lang w:eastAsia="zh-CN"/>
              </w:rPr>
              <w:t>双井个案</w:t>
            </w:r>
            <w:r>
              <w:rPr>
                <w:rFonts w:hint="eastAsia" w:ascii="仿宋_GB2312" w:hAnsi="仿宋_GB2312" w:eastAsia="仿宋_GB2312" w:cs="仿宋_GB2312"/>
                <w:b w:val="0"/>
                <w:bCs/>
                <w:color w:val="000000"/>
                <w:spacing w:val="6"/>
                <w:szCs w:val="28"/>
                <w:u w:val="none"/>
              </w:rPr>
              <w:t>的调研与分析，学生能够深入理解社会治理创新所蕴含的实践智慧，认识到青年有序参与对于推动社区发展与营造良好社会环境的重要意义。</w:t>
            </w:r>
          </w:p>
        </w:tc>
      </w:tr>
    </w:tbl>
    <w:p w14:paraId="1832CC81">
      <w:pPr>
        <w:keepNext w:val="0"/>
        <w:keepLines w:val="0"/>
        <w:pageBreakBefore w:val="0"/>
        <w:widowControl w:val="0"/>
        <w:kinsoku/>
        <w:wordWrap w:val="0"/>
        <w:topLinePunct w:val="0"/>
        <w:autoSpaceDE/>
        <w:autoSpaceDN/>
        <w:bidi w:val="0"/>
        <w:textAlignment w:val="auto"/>
        <w:rPr>
          <w:rFonts w:hint="eastAsia" w:ascii="楷体_GB2312" w:hAnsi="楷体_GB2312" w:eastAsia="楷体_GB2312" w:cs="楷体_GB2312"/>
          <w:color w:val="auto"/>
        </w:rPr>
      </w:pPr>
      <w:r>
        <w:rPr>
          <w:rFonts w:hint="eastAsia" w:ascii="楷体_GB2312" w:hAnsi="楷体_GB2312" w:eastAsia="楷体_GB2312" w:cs="楷体_GB2312"/>
          <w:color w:val="auto"/>
        </w:rPr>
        <w:br w:type="page"/>
      </w:r>
    </w:p>
    <w:p w14:paraId="21C0740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方正小标宋简体"/>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方正小标宋简体"/>
          <w:b w:val="0"/>
          <w:bCs/>
          <w:kern w:val="2"/>
          <w:sz w:val="44"/>
          <w:szCs w:val="32"/>
          <w:highlight w:val="none"/>
          <w:lang w:val="en-US" w:eastAsia="zh-CN"/>
        </w:rPr>
        <w:t>专项赛</w:t>
      </w:r>
    </w:p>
    <w:p w14:paraId="700220D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方正小标宋简体"/>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—10</w:t>
      </w:r>
    </w:p>
    <w:p w14:paraId="3ED827AF">
      <w:pPr>
        <w:keepNext w:val="0"/>
        <w:keepLines w:val="0"/>
        <w:pageBreakBefore w:val="0"/>
        <w:widowControl w:val="0"/>
        <w:tabs>
          <w:tab w:val="left" w:pos="8640"/>
        </w:tabs>
        <w:kinsoku/>
        <w:wordWrap w:val="0"/>
        <w:overflowPunct/>
        <w:topLinePunct w:val="0"/>
        <w:autoSpaceDE/>
        <w:autoSpaceDN/>
        <w:bidi w:val="0"/>
        <w:adjustRightInd w:val="0"/>
        <w:snapToGrid w:val="0"/>
        <w:spacing w:line="240" w:lineRule="auto"/>
        <w:textAlignment w:val="auto"/>
        <w:rPr>
          <w:rFonts w:ascii="方正黑体简体" w:eastAsia="方正黑体简体"/>
          <w:bCs/>
          <w:color w:val="auto"/>
          <w:spacing w:val="6"/>
          <w:sz w:val="21"/>
          <w:szCs w:val="21"/>
        </w:rPr>
      </w:pPr>
    </w:p>
    <w:p w14:paraId="0EAE84A3">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0AB1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D5DE848">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7D7C8EB8">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小关街道惠新南里社区</w:t>
            </w:r>
          </w:p>
        </w:tc>
      </w:tr>
      <w:tr w14:paraId="2B64E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5EEEF037">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2AE372C6">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社区</w:t>
            </w:r>
          </w:p>
        </w:tc>
      </w:tr>
      <w:tr w14:paraId="2CE0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78782B21">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31DD5FC9">
            <w:pPr>
              <w:keepNext w:val="0"/>
              <w:keepLines w:val="0"/>
              <w:pageBreakBefore w:val="0"/>
              <w:widowControl w:val="0"/>
              <w:kinsoku/>
              <w:wordWrap w:val="0"/>
              <w:topLinePunct w:val="0"/>
              <w:autoSpaceDE/>
              <w:autoSpaceDN/>
              <w:bidi w:val="0"/>
              <w:adjustRightInd w:val="0"/>
              <w:jc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朝阳区北土城东路11号北京书院1号楼</w:t>
            </w:r>
          </w:p>
        </w:tc>
      </w:tr>
      <w:tr w14:paraId="3738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06CCBA47">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04621E65">
            <w:pPr>
              <w:keepNext w:val="0"/>
              <w:keepLines w:val="0"/>
              <w:pageBreakBefore w:val="0"/>
              <w:widowControl w:val="0"/>
              <w:kinsoku/>
              <w:wordWrap w:val="0"/>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eastAsia="zh-CN"/>
              </w:rPr>
              <w:t>惠新南里社区成立于2021年11月24日，位于小关街道东南部，总占地面积0.263平方公里</w:t>
            </w:r>
            <w:r>
              <w:rPr>
                <w:rFonts w:hint="eastAsia" w:ascii="仿宋_GB2312" w:hAnsi="仿宋_GB2312" w:eastAsia="仿宋_GB2312" w:cs="仿宋_GB2312"/>
                <w:bCs/>
                <w:color w:val="auto"/>
                <w:spacing w:val="6"/>
                <w:szCs w:val="28"/>
                <w:lang w:val="en-US"/>
              </w:rPr>
              <w:t>。</w:t>
            </w:r>
            <w:r>
              <w:rPr>
                <w:rFonts w:hint="eastAsia" w:ascii="仿宋_GB2312" w:hAnsi="仿宋_GB2312" w:eastAsia="仿宋_GB2312" w:cs="仿宋_GB2312"/>
                <w:bCs/>
                <w:color w:val="auto"/>
                <w:spacing w:val="6"/>
                <w:szCs w:val="28"/>
                <w:lang w:val="en-US" w:eastAsia="zh-CN"/>
              </w:rPr>
              <w:t>惠新南里</w:t>
            </w:r>
            <w:r>
              <w:rPr>
                <w:rFonts w:hint="eastAsia" w:ascii="仿宋_GB2312" w:hAnsi="仿宋_GB2312" w:eastAsia="仿宋_GB2312" w:cs="仿宋_GB2312"/>
                <w:bCs/>
                <w:color w:val="auto"/>
                <w:spacing w:val="6"/>
                <w:szCs w:val="28"/>
                <w:lang w:val="en-US"/>
              </w:rPr>
              <w:t>社区党委下设</w:t>
            </w:r>
            <w:r>
              <w:rPr>
                <w:rFonts w:hint="eastAsia" w:ascii="仿宋_GB2312" w:hAnsi="仿宋_GB2312" w:eastAsia="仿宋_GB2312" w:cs="仿宋_GB2312"/>
                <w:bCs/>
                <w:color w:val="auto"/>
                <w:spacing w:val="6"/>
                <w:szCs w:val="28"/>
                <w:lang w:val="en-US" w:eastAsia="zh-CN"/>
              </w:rPr>
              <w:t>10</w:t>
            </w:r>
            <w:r>
              <w:rPr>
                <w:rFonts w:hint="eastAsia" w:ascii="仿宋_GB2312" w:hAnsi="仿宋_GB2312" w:eastAsia="仿宋_GB2312" w:cs="仿宋_GB2312"/>
                <w:bCs/>
                <w:color w:val="auto"/>
                <w:spacing w:val="6"/>
                <w:szCs w:val="28"/>
                <w:lang w:val="en-US"/>
              </w:rPr>
              <w:t>个党支部，有</w:t>
            </w:r>
            <w:r>
              <w:rPr>
                <w:rFonts w:hint="eastAsia" w:ascii="仿宋_GB2312" w:hAnsi="仿宋_GB2312" w:eastAsia="仿宋_GB2312" w:cs="仿宋_GB2312"/>
                <w:bCs/>
                <w:color w:val="auto"/>
                <w:spacing w:val="6"/>
                <w:szCs w:val="28"/>
                <w:lang w:val="en-US" w:eastAsia="zh-CN"/>
              </w:rPr>
              <w:t>291</w:t>
            </w:r>
            <w:r>
              <w:rPr>
                <w:rFonts w:hint="eastAsia" w:ascii="仿宋_GB2312" w:hAnsi="仿宋_GB2312" w:eastAsia="仿宋_GB2312" w:cs="仿宋_GB2312"/>
                <w:bCs/>
                <w:color w:val="auto"/>
                <w:spacing w:val="6"/>
                <w:szCs w:val="28"/>
                <w:lang w:val="en-US"/>
              </w:rPr>
              <w:t>名党员。社区居委会下设</w:t>
            </w:r>
            <w:r>
              <w:rPr>
                <w:rFonts w:hint="eastAsia" w:ascii="仿宋_GB2312" w:hAnsi="仿宋_GB2312" w:eastAsia="仿宋_GB2312" w:cs="仿宋_GB2312"/>
                <w:bCs/>
                <w:color w:val="auto"/>
                <w:spacing w:val="6"/>
                <w:szCs w:val="28"/>
                <w:lang w:val="en-US" w:eastAsia="zh-CN"/>
              </w:rPr>
              <w:t>19</w:t>
            </w:r>
            <w:r>
              <w:rPr>
                <w:rFonts w:hint="eastAsia" w:ascii="仿宋_GB2312" w:hAnsi="仿宋_GB2312" w:eastAsia="仿宋_GB2312" w:cs="仿宋_GB2312"/>
                <w:bCs/>
                <w:color w:val="auto"/>
                <w:spacing w:val="6"/>
                <w:szCs w:val="28"/>
                <w:lang w:val="en-US"/>
              </w:rPr>
              <w:t>个居民小组，居民代表</w:t>
            </w:r>
            <w:r>
              <w:rPr>
                <w:rFonts w:hint="eastAsia" w:ascii="仿宋_GB2312" w:hAnsi="仿宋_GB2312" w:eastAsia="仿宋_GB2312" w:cs="仿宋_GB2312"/>
                <w:bCs/>
                <w:color w:val="auto"/>
                <w:spacing w:val="6"/>
                <w:szCs w:val="28"/>
                <w:lang w:val="en-US" w:eastAsia="zh-CN"/>
              </w:rPr>
              <w:t>60</w:t>
            </w:r>
            <w:r>
              <w:rPr>
                <w:rFonts w:hint="eastAsia" w:ascii="仿宋_GB2312" w:hAnsi="仿宋_GB2312" w:eastAsia="仿宋_GB2312" w:cs="仿宋_GB2312"/>
                <w:bCs/>
                <w:color w:val="auto"/>
                <w:spacing w:val="6"/>
                <w:szCs w:val="28"/>
                <w:lang w:val="en-US"/>
              </w:rPr>
              <w:t>人。社区由6个居民小区组成，20栋居民楼中有1</w:t>
            </w:r>
            <w:r>
              <w:rPr>
                <w:rFonts w:hint="eastAsia" w:ascii="仿宋_GB2312" w:hAnsi="仿宋_GB2312" w:eastAsia="仿宋_GB2312" w:cs="仿宋_GB2312"/>
                <w:bCs/>
                <w:color w:val="auto"/>
                <w:spacing w:val="6"/>
                <w:szCs w:val="28"/>
                <w:lang w:val="en-US" w:eastAsia="zh-CN"/>
              </w:rPr>
              <w:t>0</w:t>
            </w:r>
            <w:r>
              <w:rPr>
                <w:rFonts w:hint="eastAsia" w:ascii="仿宋_GB2312" w:hAnsi="仿宋_GB2312" w:eastAsia="仿宋_GB2312" w:cs="仿宋_GB2312"/>
                <w:bCs/>
                <w:color w:val="auto"/>
                <w:spacing w:val="6"/>
                <w:szCs w:val="28"/>
                <w:lang w:val="en-US"/>
              </w:rPr>
              <w:t>栋属于央产房。社区共有2544户，常住人口5500多人，流动人口约1500多人</w:t>
            </w:r>
            <w:r>
              <w:rPr>
                <w:rFonts w:hint="eastAsia" w:ascii="仿宋_GB2312" w:hAnsi="仿宋_GB2312" w:eastAsia="仿宋_GB2312" w:cs="仿宋_GB2312"/>
                <w:bCs/>
                <w:color w:val="auto"/>
                <w:spacing w:val="6"/>
                <w:szCs w:val="28"/>
                <w:lang w:val="en-US" w:eastAsia="zh-CN"/>
              </w:rPr>
              <w:t>，</w:t>
            </w:r>
            <w:r>
              <w:rPr>
                <w:rFonts w:hint="eastAsia" w:ascii="仿宋_GB2312" w:hAnsi="仿宋_GB2312" w:eastAsia="仿宋_GB2312" w:cs="仿宋_GB2312"/>
                <w:bCs/>
                <w:color w:val="auto"/>
                <w:spacing w:val="6"/>
                <w:szCs w:val="28"/>
                <w:lang w:val="en-US"/>
              </w:rPr>
              <w:t>属于老龄化社区，60岁以上老人1500余人，占常住人口28.85%。</w:t>
            </w:r>
          </w:p>
          <w:p w14:paraId="0750CAC7">
            <w:pPr>
              <w:keepNext w:val="0"/>
              <w:keepLines w:val="0"/>
              <w:pageBreakBefore w:val="0"/>
              <w:widowControl w:val="0"/>
              <w:kinsoku/>
              <w:wordWrap w:val="0"/>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lang w:val="en-US" w:eastAsia="zh-CN"/>
              </w:rPr>
              <w:t>社区以“接诉即办、未诉先办”为抓手，依托党建引领“门楼院社”四级体系，实施主动治理、多元治理、源头治理，不断提升社区治理效能。</w:t>
            </w:r>
            <w:r>
              <w:rPr>
                <w:rFonts w:hint="eastAsia" w:ascii="仿宋_GB2312" w:hAnsi="仿宋_GB2312" w:eastAsia="仿宋_GB2312" w:cs="仿宋_GB2312"/>
                <w:bCs/>
                <w:color w:val="auto"/>
                <w:spacing w:val="6"/>
                <w:szCs w:val="28"/>
                <w:lang w:val="en-US"/>
              </w:rPr>
              <w:t>社区以党建引领多元共治为思路，打造“红领惠南”党建品牌，成功破解多项治理难题，获评多项荣誉，致力于建设宜居幸福家园。</w:t>
            </w:r>
          </w:p>
        </w:tc>
      </w:tr>
      <w:tr w14:paraId="0D37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2C40D76B">
            <w:pPr>
              <w:keepNext w:val="0"/>
              <w:keepLines w:val="0"/>
              <w:pageBreakBefore w:val="0"/>
              <w:widowControl w:val="0"/>
              <w:kinsoku/>
              <w:wordWrap w:val="0"/>
              <w:topLinePunct w:val="0"/>
              <w:autoSpaceDE/>
              <w:autoSpaceDN/>
              <w:bidi w:val="0"/>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4E46FEC4">
            <w:pPr>
              <w:keepNext w:val="0"/>
              <w:keepLines w:val="0"/>
              <w:pageBreakBefore w:val="0"/>
              <w:widowControl w:val="0"/>
              <w:kinsoku/>
              <w:wordWrap w:val="0"/>
              <w:topLinePunct w:val="0"/>
              <w:autoSpaceDE/>
              <w:autoSpaceDN/>
              <w:bidi w:val="0"/>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王新颖</w:t>
            </w:r>
          </w:p>
        </w:tc>
        <w:tc>
          <w:tcPr>
            <w:tcW w:w="1073" w:type="dxa"/>
            <w:vAlign w:val="center"/>
          </w:tcPr>
          <w:p w14:paraId="04D7E97D">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69F514BF">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lang w:val="en-US" w:eastAsia="zh-CN"/>
              </w:rPr>
            </w:pPr>
            <w:r>
              <w:rPr>
                <w:rFonts w:hint="eastAsia" w:eastAsia="方正仿宋简体" w:cs="Times New Roman"/>
                <w:color w:val="auto"/>
                <w:lang w:val="en-US" w:eastAsia="zh-CN"/>
              </w:rPr>
              <w:t>副书记</w:t>
            </w:r>
          </w:p>
        </w:tc>
      </w:tr>
      <w:tr w14:paraId="4FB1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14AAF9C1">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60D8B0CA">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default" w:ascii="Times New Roman" w:hAnsi="Times New Roman" w:eastAsia="仿宋_GB2312" w:cs="Times New Roman"/>
                <w:bCs/>
                <w:color w:val="auto"/>
                <w:spacing w:val="6"/>
                <w:szCs w:val="28"/>
                <w:lang w:val="en-US" w:eastAsia="zh-CN"/>
              </w:rPr>
              <w:t>64920558</w:t>
            </w:r>
          </w:p>
        </w:tc>
        <w:tc>
          <w:tcPr>
            <w:tcW w:w="1073" w:type="dxa"/>
            <w:vAlign w:val="center"/>
          </w:tcPr>
          <w:p w14:paraId="5AFC3AB3">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3090978E">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rPr>
            </w:pPr>
            <w:r>
              <w:rPr>
                <w:rFonts w:hint="default" w:ascii="Times New Roman" w:hAnsi="Times New Roman" w:eastAsia="仿宋_GB2312" w:cs="Times New Roman"/>
                <w:bCs/>
                <w:color w:val="auto"/>
                <w:spacing w:val="6"/>
                <w:szCs w:val="28"/>
                <w:lang w:val="en-US" w:eastAsia="zh-CN"/>
              </w:rPr>
              <w:t>13691236220</w:t>
            </w:r>
          </w:p>
        </w:tc>
      </w:tr>
    </w:tbl>
    <w:p w14:paraId="6ABFC792">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4156BB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F3B470C">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B15F476">
            <w:pPr>
              <w:keepNext w:val="0"/>
              <w:keepLines w:val="0"/>
              <w:pageBreakBefore w:val="0"/>
              <w:widowControl w:val="0"/>
              <w:kinsoku/>
              <w:wordWrap w:val="0"/>
              <w:overflowPunct/>
              <w:topLinePunct w:val="0"/>
              <w:autoSpaceDE/>
              <w:autoSpaceDN/>
              <w:bidi w:val="0"/>
              <w:adjustRightInd w:val="0"/>
              <w:snapToGrid w:val="0"/>
              <w:ind w:firstLine="0" w:firstLineChars="0"/>
              <w:jc w:val="center"/>
              <w:textAlignment w:val="auto"/>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AI赋能社区治理的方法路径研究</w:t>
            </w:r>
          </w:p>
        </w:tc>
      </w:tr>
      <w:tr w14:paraId="397049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7C38487">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0D23C77">
            <w:pPr>
              <w:keepNext w:val="0"/>
              <w:keepLines w:val="0"/>
              <w:pageBreakBefore w:val="0"/>
              <w:widowControl w:val="0"/>
              <w:kinsoku/>
              <w:wordWrap w:val="0"/>
              <w:overflowPunct/>
              <w:topLinePunct w:val="0"/>
              <w:autoSpaceDE/>
              <w:autoSpaceDN/>
              <w:bidi w:val="0"/>
              <w:adjustRightInd w:val="0"/>
              <w:snapToGrid w:val="0"/>
              <w:ind w:firstLine="0" w:firstLineChars="0"/>
              <w:jc w:val="center"/>
              <w:textAlignment w:val="auto"/>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bCs/>
                <w:color w:val="000000"/>
                <w:spacing w:val="6"/>
                <w:szCs w:val="28"/>
                <w:lang w:val="en-US" w:eastAsia="zh-CN"/>
              </w:rPr>
              <w:t>社会治理</w:t>
            </w:r>
          </w:p>
        </w:tc>
      </w:tr>
      <w:tr w14:paraId="2C4D3A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B17456A">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1B2202E">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lang w:val="en-US" w:eastAsia="zh-CN"/>
              </w:rPr>
            </w:pPr>
            <w:r>
              <w:rPr>
                <w:rFonts w:hint="eastAsia" w:ascii="仿宋_GB2312" w:hAnsi="仿宋_GB2312" w:eastAsia="仿宋_GB2312" w:cs="仿宋_GB2312"/>
                <w:b w:val="0"/>
                <w:bCs/>
                <w:color w:val="000000"/>
                <w:spacing w:val="6"/>
                <w:szCs w:val="28"/>
                <w:lang w:val="en-US"/>
              </w:rPr>
              <w:t>惠新南里社区存在老旧小区多、央产弃管多、重点单位多及老龄化程度高的特点，当前社区治理面临网格精细化管理效率不足、养老服务精准度不够、民生诉求响应时效待提升等问题。AI技术在数据整合、智能分析、高效响应等方面具备独特优势，本选题旨在探索AI技术与社区治理的深度融合路径，针对社区网格管理、养老服务供给、民生诉求处置等核心场景，研发兼具实用性与创新性的解决方案，解决社区治理中的实际痛点，为同类社区提供可复制的实践经验，题目具备明确的创业攻关条件和实际应用价值。</w:t>
            </w:r>
          </w:p>
        </w:tc>
      </w:tr>
      <w:tr w14:paraId="13839F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214"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2104506">
            <w:pPr>
              <w:keepNext w:val="0"/>
              <w:keepLines w:val="0"/>
              <w:pageBreakBefore w:val="0"/>
              <w:widowControl w:val="0"/>
              <w:kinsoku/>
              <w:wordWrap w:val="0"/>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6341E9A">
            <w:pPr>
              <w:keepNext w:val="0"/>
              <w:keepLines w:val="0"/>
              <w:pageBreakBefore w:val="0"/>
              <w:widowControl w:val="0"/>
              <w:kinsoku/>
              <w:wordWrap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rPr>
              <w:t>1.参赛团队需深入惠新南里社区实地调研，全面掌握社区治理现状、现存问题及居民核心需求，形成详实的调研分析报告</w:t>
            </w:r>
            <w:r>
              <w:rPr>
                <w:rFonts w:hint="eastAsia" w:ascii="仿宋_GB2312" w:hAnsi="仿宋_GB2312" w:eastAsia="仿宋_GB2312" w:cs="仿宋_GB2312"/>
                <w:b w:val="0"/>
                <w:bCs/>
                <w:color w:val="000000"/>
                <w:spacing w:val="6"/>
                <w:szCs w:val="28"/>
                <w:lang w:eastAsia="zh-CN"/>
              </w:rPr>
              <w:t>。</w:t>
            </w:r>
          </w:p>
          <w:p w14:paraId="1B097E1B">
            <w:pPr>
              <w:keepNext w:val="0"/>
              <w:keepLines w:val="0"/>
              <w:pageBreakBefore w:val="0"/>
              <w:widowControl w:val="0"/>
              <w:kinsoku/>
              <w:wordWrap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rPr>
              <w:t>2.方案需聚焦AI技术在社区网格精细化管理、适老化服务、诉求响应处置等1-2个核心场景的应用，明确技术实现路径、功能设计及落地可行性</w:t>
            </w:r>
            <w:r>
              <w:rPr>
                <w:rFonts w:hint="eastAsia" w:ascii="仿宋_GB2312" w:hAnsi="仿宋_GB2312" w:eastAsia="仿宋_GB2312" w:cs="仿宋_GB2312"/>
                <w:b w:val="0"/>
                <w:bCs/>
                <w:color w:val="000000"/>
                <w:spacing w:val="6"/>
                <w:szCs w:val="28"/>
                <w:lang w:eastAsia="zh-CN"/>
              </w:rPr>
              <w:t>。</w:t>
            </w:r>
          </w:p>
          <w:p w14:paraId="61C206F1">
            <w:pPr>
              <w:keepNext w:val="0"/>
              <w:keepLines w:val="0"/>
              <w:pageBreakBefore w:val="0"/>
              <w:widowControl w:val="0"/>
              <w:kinsoku/>
              <w:wordWrap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3.提交作品需包含完整的</w:t>
            </w:r>
            <w:r>
              <w:rPr>
                <w:rFonts w:hint="eastAsia" w:ascii="仿宋_GB2312" w:hAnsi="仿宋_GB2312" w:eastAsia="仿宋_GB2312" w:cs="仿宋_GB2312"/>
                <w:b w:val="0"/>
                <w:bCs/>
                <w:color w:val="000000"/>
                <w:spacing w:val="6"/>
                <w:szCs w:val="28"/>
                <w:lang w:val="en-US" w:eastAsia="zh-CN"/>
              </w:rPr>
              <w:t>方案</w:t>
            </w:r>
            <w:r>
              <w:rPr>
                <w:rFonts w:hint="eastAsia" w:ascii="仿宋_GB2312" w:hAnsi="仿宋_GB2312" w:eastAsia="仿宋_GB2312" w:cs="仿宋_GB2312"/>
                <w:b w:val="0"/>
                <w:bCs/>
                <w:color w:val="000000"/>
                <w:spacing w:val="6"/>
                <w:szCs w:val="28"/>
              </w:rPr>
              <w:t>，涵盖方案架构、技术选型、实施步骤、预期成效等内容；</w:t>
            </w:r>
          </w:p>
          <w:p w14:paraId="4594D39E">
            <w:pPr>
              <w:keepNext w:val="0"/>
              <w:keepLines w:val="0"/>
              <w:pageBreakBefore w:val="0"/>
              <w:widowControl w:val="0"/>
              <w:kinsoku/>
              <w:wordWrap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rPr>
              <w:t>4.作品需具备创新性与实操性，可结合社区现有“门楼院社”四级体系优化设计</w:t>
            </w:r>
            <w:r>
              <w:rPr>
                <w:rFonts w:hint="eastAsia" w:ascii="仿宋_GB2312" w:hAnsi="仿宋_GB2312" w:eastAsia="仿宋_GB2312" w:cs="仿宋_GB2312"/>
                <w:b w:val="0"/>
                <w:bCs/>
                <w:color w:val="000000"/>
                <w:spacing w:val="6"/>
                <w:szCs w:val="28"/>
                <w:lang w:eastAsia="zh-CN"/>
              </w:rPr>
              <w:t>。</w:t>
            </w:r>
          </w:p>
          <w:p w14:paraId="38100711">
            <w:pPr>
              <w:keepNext w:val="0"/>
              <w:keepLines w:val="0"/>
              <w:pageBreakBefore w:val="0"/>
              <w:widowControl w:val="0"/>
              <w:kinsoku/>
              <w:wordWrap w:val="0"/>
              <w:topLinePunct w:val="0"/>
              <w:autoSpaceDE/>
              <w:autoSpaceDN/>
              <w:bidi w:val="0"/>
              <w:adjustRightInd w:val="0"/>
              <w:snapToGrid w:val="0"/>
              <w:ind w:firstLine="504" w:firstLineChars="200"/>
              <w:textAlignment w:val="auto"/>
              <w:rPr>
                <w:rFonts w:hint="eastAsia"/>
              </w:rPr>
            </w:pPr>
            <w:r>
              <w:rPr>
                <w:rFonts w:hint="eastAsia" w:ascii="仿宋_GB2312" w:hAnsi="仿宋_GB2312" w:eastAsia="仿宋_GB2312" w:cs="仿宋_GB2312"/>
                <w:b w:val="0"/>
                <w:bCs/>
                <w:color w:val="000000"/>
                <w:spacing w:val="6"/>
                <w:szCs w:val="28"/>
              </w:rPr>
              <w:t>5.提交形式为Word版和PDF版创业计划书，附调研问卷、访谈记录、场景分析图表等过程性材料，截止提交时间以大赛组委会要求为准。</w:t>
            </w:r>
          </w:p>
        </w:tc>
      </w:tr>
      <w:tr w14:paraId="4425D0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AC50F">
            <w:pPr>
              <w:keepNext w:val="0"/>
              <w:keepLines w:val="0"/>
              <w:pageBreakBefore w:val="0"/>
              <w:widowControl w:val="0"/>
              <w:kinsoku/>
              <w:wordWrap w:val="0"/>
              <w:overflowPunct w:val="0"/>
              <w:topLinePunct w:val="0"/>
              <w:autoSpaceDE/>
              <w:autoSpaceDN/>
              <w:bidi w:val="0"/>
              <w:adjustRightInd w:val="0"/>
              <w:snapToGrid w:val="0"/>
              <w:spacing w:line="240" w:lineRule="auto"/>
              <w:jc w:val="center"/>
              <w:textAlignment w:val="auto"/>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032ACF61">
            <w:pPr>
              <w:keepNext w:val="0"/>
              <w:keepLines w:val="0"/>
              <w:pageBreakBefore w:val="0"/>
              <w:widowControl w:val="0"/>
              <w:kinsoku/>
              <w:wordWrap w:val="0"/>
              <w:overflowPunct w:val="0"/>
              <w:topLinePunct w:val="0"/>
              <w:autoSpaceDE/>
              <w:autoSpaceDN/>
              <w:bidi w:val="0"/>
              <w:adjustRightInd w:val="0"/>
              <w:snapToGrid w:val="0"/>
              <w:spacing w:line="240" w:lineRule="auto"/>
              <w:jc w:val="center"/>
              <w:textAlignment w:val="auto"/>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77E0C7">
            <w:pPr>
              <w:keepNext w:val="0"/>
              <w:keepLines w:val="0"/>
              <w:pageBreakBefore w:val="0"/>
              <w:widowControl w:val="0"/>
              <w:kinsoku/>
              <w:wordWrap w:val="0"/>
              <w:overflowPunct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u w:val="none"/>
                <w:lang w:eastAsia="zh-CN"/>
              </w:rPr>
            </w:pPr>
            <w:r>
              <w:rPr>
                <w:rFonts w:hint="eastAsia" w:ascii="仿宋_GB2312" w:hAnsi="仿宋_GB2312" w:eastAsia="仿宋_GB2312" w:cs="仿宋_GB2312"/>
                <w:b w:val="0"/>
                <w:bCs/>
                <w:color w:val="000000"/>
                <w:spacing w:val="6"/>
                <w:szCs w:val="28"/>
                <w:u w:val="none"/>
              </w:rPr>
              <w:t>1.需求契合度（30%）：方案是否精准匹配惠新南里社区治理实际痛点，是否贴合居民及社区工作者核心需求</w:t>
            </w:r>
            <w:r>
              <w:rPr>
                <w:rFonts w:hint="eastAsia" w:ascii="仿宋_GB2312" w:hAnsi="仿宋_GB2312" w:eastAsia="仿宋_GB2312" w:cs="仿宋_GB2312"/>
                <w:b w:val="0"/>
                <w:bCs/>
                <w:color w:val="000000"/>
                <w:spacing w:val="6"/>
                <w:szCs w:val="28"/>
                <w:u w:val="none"/>
                <w:lang w:eastAsia="zh-CN"/>
              </w:rPr>
              <w:t>。</w:t>
            </w:r>
          </w:p>
          <w:p w14:paraId="11392275">
            <w:pPr>
              <w:keepNext w:val="0"/>
              <w:keepLines w:val="0"/>
              <w:pageBreakBefore w:val="0"/>
              <w:widowControl w:val="0"/>
              <w:kinsoku/>
              <w:wordWrap w:val="0"/>
              <w:overflowPunct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u w:val="none"/>
                <w:lang w:eastAsia="zh-CN"/>
              </w:rPr>
            </w:pPr>
            <w:r>
              <w:rPr>
                <w:rFonts w:hint="eastAsia" w:ascii="仿宋_GB2312" w:hAnsi="仿宋_GB2312" w:eastAsia="仿宋_GB2312" w:cs="仿宋_GB2312"/>
                <w:b w:val="0"/>
                <w:bCs/>
                <w:color w:val="000000"/>
                <w:spacing w:val="6"/>
                <w:szCs w:val="28"/>
                <w:u w:val="none"/>
              </w:rPr>
              <w:t>2.技术创新性（25%）：AI技术应用思路是否新颖，技术选型是否合理</w:t>
            </w:r>
            <w:r>
              <w:rPr>
                <w:rFonts w:hint="eastAsia" w:ascii="仿宋_GB2312" w:hAnsi="仿宋_GB2312" w:eastAsia="仿宋_GB2312" w:cs="仿宋_GB2312"/>
                <w:b w:val="0"/>
                <w:bCs/>
                <w:color w:val="000000"/>
                <w:spacing w:val="6"/>
                <w:szCs w:val="28"/>
                <w:u w:val="none"/>
                <w:lang w:val="en-US" w:eastAsia="zh-CN"/>
              </w:rPr>
              <w:t>等</w:t>
            </w:r>
            <w:r>
              <w:rPr>
                <w:rFonts w:hint="eastAsia" w:ascii="仿宋_GB2312" w:hAnsi="仿宋_GB2312" w:eastAsia="仿宋_GB2312" w:cs="仿宋_GB2312"/>
                <w:b w:val="0"/>
                <w:bCs/>
                <w:color w:val="000000"/>
                <w:spacing w:val="6"/>
                <w:szCs w:val="28"/>
                <w:u w:val="none"/>
                <w:lang w:eastAsia="zh-CN"/>
              </w:rPr>
              <w:t>。</w:t>
            </w:r>
          </w:p>
          <w:p w14:paraId="72ED820A">
            <w:pPr>
              <w:keepNext w:val="0"/>
              <w:keepLines w:val="0"/>
              <w:pageBreakBefore w:val="0"/>
              <w:widowControl w:val="0"/>
              <w:kinsoku/>
              <w:wordWrap w:val="0"/>
              <w:overflowPunct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u w:val="none"/>
                <w:lang w:eastAsia="zh-CN"/>
              </w:rPr>
            </w:pPr>
            <w:r>
              <w:rPr>
                <w:rFonts w:hint="eastAsia" w:ascii="仿宋_GB2312" w:hAnsi="仿宋_GB2312" w:eastAsia="仿宋_GB2312" w:cs="仿宋_GB2312"/>
                <w:b w:val="0"/>
                <w:bCs/>
                <w:color w:val="000000"/>
                <w:spacing w:val="6"/>
                <w:szCs w:val="28"/>
                <w:u w:val="none"/>
              </w:rPr>
              <w:t>3.落地可行性（25%）：方案是否符合社区实际运营场景，成本可控、操作便捷，是否具备短期试点推广条件</w:t>
            </w:r>
            <w:r>
              <w:rPr>
                <w:rFonts w:hint="eastAsia" w:ascii="仿宋_GB2312" w:hAnsi="仿宋_GB2312" w:eastAsia="仿宋_GB2312" w:cs="仿宋_GB2312"/>
                <w:b w:val="0"/>
                <w:bCs/>
                <w:color w:val="000000"/>
                <w:spacing w:val="6"/>
                <w:szCs w:val="28"/>
                <w:u w:val="none"/>
                <w:lang w:eastAsia="zh-CN"/>
              </w:rPr>
              <w:t>。</w:t>
            </w:r>
          </w:p>
          <w:p w14:paraId="4E072F07">
            <w:pPr>
              <w:keepNext w:val="0"/>
              <w:keepLines w:val="0"/>
              <w:pageBreakBefore w:val="0"/>
              <w:widowControl w:val="0"/>
              <w:kinsoku/>
              <w:wordWrap w:val="0"/>
              <w:overflowPunct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u w:val="none"/>
                <w:lang w:eastAsia="zh-CN"/>
              </w:rPr>
            </w:pPr>
            <w:r>
              <w:rPr>
                <w:rFonts w:hint="eastAsia" w:ascii="仿宋_GB2312" w:hAnsi="仿宋_GB2312" w:eastAsia="仿宋_GB2312" w:cs="仿宋_GB2312"/>
                <w:b w:val="0"/>
                <w:bCs/>
                <w:color w:val="000000"/>
                <w:spacing w:val="6"/>
                <w:szCs w:val="28"/>
                <w:u w:val="none"/>
              </w:rPr>
              <w:t>4.推广价值（15%）：方案是否能为同类社区提供借鉴，具备可复制、可推广的实践意义</w:t>
            </w:r>
            <w:r>
              <w:rPr>
                <w:rFonts w:hint="eastAsia" w:ascii="仿宋_GB2312" w:hAnsi="仿宋_GB2312" w:eastAsia="仿宋_GB2312" w:cs="仿宋_GB2312"/>
                <w:b w:val="0"/>
                <w:bCs/>
                <w:color w:val="000000"/>
                <w:spacing w:val="6"/>
                <w:szCs w:val="28"/>
                <w:u w:val="none"/>
                <w:lang w:eastAsia="zh-CN"/>
              </w:rPr>
              <w:t>。</w:t>
            </w:r>
          </w:p>
          <w:p w14:paraId="2A432FF8">
            <w:pPr>
              <w:keepNext w:val="0"/>
              <w:keepLines w:val="0"/>
              <w:pageBreakBefore w:val="0"/>
              <w:widowControl w:val="0"/>
              <w:kinsoku/>
              <w:wordWrap w:val="0"/>
              <w:overflowPunct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5.完整性（5%）：提交材料是否齐全，逻辑是否清晰，表述是否规范。</w:t>
            </w:r>
          </w:p>
        </w:tc>
      </w:tr>
      <w:tr w14:paraId="163B3B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7484B35">
            <w:pPr>
              <w:keepNext w:val="0"/>
              <w:keepLines w:val="0"/>
              <w:pageBreakBefore w:val="0"/>
              <w:widowControl w:val="0"/>
              <w:kinsoku/>
              <w:wordWrap w:val="0"/>
              <w:overflowPunct w:val="0"/>
              <w:topLinePunct w:val="0"/>
              <w:autoSpaceDE/>
              <w:autoSpaceDN/>
              <w:bidi w:val="0"/>
              <w:adjustRightInd w:val="0"/>
              <w:snapToGrid w:val="0"/>
              <w:spacing w:line="240" w:lineRule="auto"/>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A703E2D">
            <w:pPr>
              <w:keepNext w:val="0"/>
              <w:keepLines w:val="0"/>
              <w:pageBreakBefore w:val="0"/>
              <w:widowControl w:val="0"/>
              <w:kinsoku/>
              <w:wordWrap w:val="0"/>
              <w:overflowPunct w:val="0"/>
              <w:topLinePunct w:val="0"/>
              <w:autoSpaceDE/>
              <w:autoSpaceDN/>
              <w:bidi w:val="0"/>
              <w:adjustRightInd w:val="0"/>
              <w:snapToGrid w:val="0"/>
              <w:ind w:firstLine="480" w:firstLineChars="200"/>
              <w:textAlignment w:val="auto"/>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color w:val="000000"/>
                <w:u w:val="none"/>
              </w:rPr>
              <w:t>参赛团队需遵守社区调研相关规定，尊重居民隐私，妥善保管调研获取的各类数据</w:t>
            </w:r>
            <w:r>
              <w:rPr>
                <w:rFonts w:hint="eastAsia" w:ascii="仿宋_GB2312" w:hAnsi="仿宋_GB2312" w:eastAsia="仿宋_GB2312" w:cs="仿宋_GB2312"/>
                <w:b w:val="0"/>
                <w:color w:val="000000"/>
                <w:u w:val="none"/>
                <w:lang w:eastAsia="zh-CN"/>
              </w:rPr>
              <w:t>。</w:t>
            </w:r>
          </w:p>
        </w:tc>
      </w:tr>
    </w:tbl>
    <w:p w14:paraId="357E34C5">
      <w:pPr>
        <w:keepNext w:val="0"/>
        <w:keepLines w:val="0"/>
        <w:pageBreakBefore w:val="0"/>
        <w:widowControl w:val="0"/>
        <w:kinsoku/>
        <w:wordWrap w:val="0"/>
        <w:topLinePunct w:val="0"/>
        <w:autoSpaceDE/>
        <w:autoSpaceDN/>
        <w:bidi w:val="0"/>
        <w:textAlignment w:val="auto"/>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7F3893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C27254D">
            <w:pPr>
              <w:keepNext w:val="0"/>
              <w:keepLines w:val="0"/>
              <w:pageBreakBefore w:val="0"/>
              <w:widowControl w:val="0"/>
              <w:kinsoku/>
              <w:wordWrap w:val="0"/>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8E76ADD">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val="en-US"/>
              </w:rPr>
              <w:t>协调辖区内相关单位、居民代表与参赛团队开展座谈交流，助力团队精准把握需求</w:t>
            </w:r>
            <w:r>
              <w:rPr>
                <w:rFonts w:hint="eastAsia" w:ascii="仿宋_GB2312" w:hAnsi="仿宋_GB2312" w:eastAsia="仿宋_GB2312" w:cs="仿宋_GB2312"/>
                <w:b w:val="0"/>
                <w:bCs/>
                <w:color w:val="000000"/>
                <w:spacing w:val="6"/>
                <w:szCs w:val="28"/>
                <w:lang w:val="en-US" w:eastAsia="zh-CN"/>
              </w:rPr>
              <w:t>。</w:t>
            </w:r>
          </w:p>
        </w:tc>
      </w:tr>
      <w:tr w14:paraId="3D65B0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2FFD4BD">
            <w:pPr>
              <w:keepNext w:val="0"/>
              <w:keepLines w:val="0"/>
              <w:pageBreakBefore w:val="0"/>
              <w:widowControl w:val="0"/>
              <w:kinsoku/>
              <w:wordWrap w:val="0"/>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11C1454">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一、奖项设置</w:t>
            </w:r>
          </w:p>
          <w:p w14:paraId="2B098DBB">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原则上设“擂主”团队1个，根据实际情况评出相应的特等奖、一等奖、二等奖、三等奖项目若干。</w:t>
            </w:r>
          </w:p>
          <w:p w14:paraId="63762DB2">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二、激励措施</w:t>
            </w:r>
          </w:p>
          <w:p w14:paraId="233F7829">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为获奖者提供本社区实习实践机会。</w:t>
            </w:r>
          </w:p>
        </w:tc>
      </w:tr>
    </w:tbl>
    <w:p w14:paraId="6C2A34FA">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386B6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789FEB8">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ABC354">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eastAsia="zh-CN"/>
              </w:rPr>
              <w:t>本选题聚焦AI技术在社区治理场景的落地应用，探索基层治理与新一代信息技术的融合路径，有助于突破AI技术在基层治理中“落地难、适配性差”的瓶颈，推动AI技术向民生服务领域下沉，优化AI应用的场景化设计，为基层治理数字化转型提供技术实践参考，助力提升基层治理的智能化水平。</w:t>
            </w:r>
          </w:p>
        </w:tc>
      </w:tr>
      <w:tr w14:paraId="745AFB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786EE6">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DEF3B">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经济效益方面，AI赋能可提升社区治理效率，降低人力运营成本，同时可能催生出社区智能服务相关创业项目，带动相关产业链发展；社会效益方面，方案落地后可优化社区网格管理、提升养老服务精准度、缩短民生诉求响应时间，切实增强居民幸福感与归属感，为“五宜”朝阳建设提供支撑，其成功经验可在同类社区推广，推动全社会基层治理体系和治理能力现代化。</w:t>
            </w:r>
          </w:p>
        </w:tc>
      </w:tr>
    </w:tbl>
    <w:p w14:paraId="7B216DD6">
      <w:pPr>
        <w:keepNext w:val="0"/>
        <w:keepLines w:val="0"/>
        <w:pageBreakBefore w:val="0"/>
        <w:widowControl w:val="0"/>
        <w:kinsoku/>
        <w:topLinePunct w:val="0"/>
        <w:autoSpaceDE/>
        <w:autoSpaceDN/>
        <w:bidi w:val="0"/>
        <w:textAlignment w:val="auto"/>
        <w:rPr>
          <w:rFonts w:hint="eastAsia" w:ascii="仿宋_GB2312" w:eastAsia="仿宋_GB2312"/>
          <w:bCs/>
          <w:color w:val="auto"/>
          <w:sz w:val="32"/>
          <w:szCs w:val="32"/>
          <w:lang w:val="en-US"/>
        </w:rPr>
      </w:pPr>
      <w:r>
        <w:rPr>
          <w:rFonts w:hint="eastAsia" w:ascii="仿宋_GB2312" w:eastAsia="仿宋_GB2312"/>
          <w:bCs/>
          <w:color w:val="auto"/>
          <w:sz w:val="32"/>
          <w:szCs w:val="32"/>
          <w:lang w:val="en-US"/>
        </w:rPr>
        <w:br w:type="page"/>
      </w:r>
    </w:p>
    <w:p w14:paraId="52A96A7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7D130936">
      <w:pPr>
        <w:widowControl w:val="0"/>
        <w:tabs>
          <w:tab w:val="left" w:pos="8640"/>
        </w:tabs>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—11</w:t>
      </w:r>
    </w:p>
    <w:p w14:paraId="04D708AF">
      <w:pPr>
        <w:keepNext w:val="0"/>
        <w:keepLines w:val="0"/>
        <w:pageBreakBefore w:val="0"/>
        <w:widowControl w:val="0"/>
        <w:tabs>
          <w:tab w:val="left" w:pos="8640"/>
        </w:tabs>
        <w:kinsoku/>
        <w:wordWrap w:val="0"/>
        <w:overflowPunct/>
        <w:topLinePunct w:val="0"/>
        <w:autoSpaceDE/>
        <w:autoSpaceDN/>
        <w:bidi w:val="0"/>
        <w:adjustRightInd w:val="0"/>
        <w:snapToGrid w:val="0"/>
        <w:spacing w:line="240" w:lineRule="auto"/>
        <w:textAlignment w:val="auto"/>
        <w:rPr>
          <w:rFonts w:ascii="方正黑体简体" w:eastAsia="方正黑体简体"/>
          <w:bCs/>
          <w:color w:val="auto"/>
          <w:spacing w:val="6"/>
          <w:sz w:val="21"/>
          <w:szCs w:val="21"/>
        </w:rPr>
      </w:pPr>
    </w:p>
    <w:p w14:paraId="72956FA4">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5F7E0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A845B81">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7EB9E40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仿宋_GB2312" w:hAnsi="仿宋_GB2312" w:eastAsia="仿宋_GB2312" w:cs="仿宋_GB2312"/>
                <w:color w:val="auto"/>
                <w:lang w:val="en-US"/>
              </w:rPr>
            </w:pPr>
            <w:r>
              <w:rPr>
                <w:rFonts w:hint="eastAsia" w:ascii="仿宋_GB2312" w:hAnsi="仿宋_GB2312" w:eastAsia="仿宋_GB2312" w:cs="仿宋_GB2312"/>
                <w:bCs/>
                <w:color w:val="auto"/>
                <w:spacing w:val="6"/>
                <w:szCs w:val="28"/>
                <w:lang w:val="en-US" w:eastAsia="zh-CN"/>
              </w:rPr>
              <w:t>北京市丰台区人民政府</w:t>
            </w:r>
            <w:r>
              <w:rPr>
                <w:rFonts w:hint="default" w:ascii="仿宋_GB2312" w:hAnsi="仿宋_GB2312" w:eastAsia="仿宋_GB2312" w:cs="仿宋_GB2312"/>
                <w:bCs/>
                <w:color w:val="auto"/>
                <w:spacing w:val="6"/>
                <w:szCs w:val="28"/>
                <w:lang w:val="en-US" w:eastAsia="zh-CN"/>
              </w:rPr>
              <w:t>西罗园街道办事处</w:t>
            </w:r>
          </w:p>
        </w:tc>
      </w:tr>
      <w:tr w14:paraId="766C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073B659">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5D21EA8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街道乡镇</w:t>
            </w:r>
          </w:p>
        </w:tc>
      </w:tr>
      <w:tr w14:paraId="2C11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2E2D8750">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5AE77B1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北京市丰台区西罗园街道洋桥北里9号</w:t>
            </w:r>
          </w:p>
        </w:tc>
      </w:tr>
      <w:tr w14:paraId="6D8EE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0B6687C5">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6E7A78EE">
            <w:pPr>
              <w:keepNext w:val="0"/>
              <w:keepLines w:val="0"/>
              <w:pageBreakBefore w:val="0"/>
              <w:widowControl w:val="0"/>
              <w:kinsoku/>
              <w:wordWrap w:val="0"/>
              <w:overflowPunct/>
              <w:topLinePunct w:val="0"/>
              <w:autoSpaceDE/>
              <w:autoSpaceDN/>
              <w:bidi w:val="0"/>
              <w:adjustRightInd w:val="0"/>
              <w:snapToGrid w:val="0"/>
              <w:spacing w:line="400" w:lineRule="exact"/>
              <w:ind w:firstLine="504" w:firstLineChars="200"/>
              <w:jc w:val="left"/>
              <w:textAlignment w:val="auto"/>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lang w:val="en-US" w:eastAsia="zh-CN"/>
              </w:rPr>
              <w:t>西罗园街道常住人口11.8万，其中60岁以上老年人3.58万，占比30.5%，99%选择居家养老，且以老旧小区为主，老年群体呈现“高龄化、特殊困难占比高、居家风险高、专业照护弱”的“三高一难”特征。街道已建成“夕乐园”智慧养联体平台，构建“7助”服务体系，联动中邮时代、意馨夕阳乐苑等20余家企业，服务覆盖162户特殊困难老人及周边居民。现聚焦养老服务供需错配、运营可持续性不足等痛点，诚邀高校团队深度合作，发挥高校专业优势与宣传资源，共同打造适配老旧小区的养老服务包运营方案。</w:t>
            </w:r>
          </w:p>
        </w:tc>
      </w:tr>
      <w:tr w14:paraId="6F76E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7162EB28">
            <w:pPr>
              <w:keepNext w:val="0"/>
              <w:keepLines w:val="0"/>
              <w:pageBreakBefore w:val="0"/>
              <w:widowControl w:val="0"/>
              <w:kinsoku/>
              <w:wordWrap w:val="0"/>
              <w:topLinePunct w:val="0"/>
              <w:autoSpaceDE/>
              <w:autoSpaceDN/>
              <w:bidi w:val="0"/>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12B5F93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王玥</w:t>
            </w:r>
          </w:p>
        </w:tc>
        <w:tc>
          <w:tcPr>
            <w:tcW w:w="1073" w:type="dxa"/>
            <w:vAlign w:val="center"/>
          </w:tcPr>
          <w:p w14:paraId="25F8E54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03F4B38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imes New Roman" w:hAnsi="Times New Roman" w:eastAsia="方正仿宋简体" w:cs="Times New Roman"/>
                <w:color w:val="auto"/>
              </w:rPr>
            </w:pPr>
            <w:r>
              <w:rPr>
                <w:rFonts w:hint="eastAsia" w:ascii="仿宋_GB2312" w:hAnsi="仿宋_GB2312" w:eastAsia="仿宋_GB2312" w:cs="仿宋_GB2312"/>
                <w:bCs/>
                <w:color w:val="auto"/>
                <w:spacing w:val="6"/>
                <w:szCs w:val="28"/>
                <w:lang w:val="en-US" w:eastAsia="zh-CN"/>
              </w:rPr>
              <w:t>党群工作办公室科长</w:t>
            </w:r>
          </w:p>
        </w:tc>
      </w:tr>
      <w:tr w14:paraId="5240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29490DCB">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5B84C52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仿宋_GB2312" w:hAnsi="仿宋_GB2312" w:eastAsia="仿宋_GB2312" w:cs="仿宋_GB2312"/>
                <w:bCs/>
                <w:color w:val="auto"/>
                <w:spacing w:val="6"/>
                <w:szCs w:val="28"/>
                <w:lang w:val="en-US" w:eastAsia="zh-CN"/>
              </w:rPr>
            </w:pPr>
            <w:r>
              <w:rPr>
                <w:rFonts w:hint="default" w:ascii="Times New Roman" w:hAnsi="Times New Roman" w:eastAsia="仿宋_GB2312" w:cs="Times New Roman"/>
                <w:bCs/>
                <w:color w:val="auto"/>
                <w:spacing w:val="6"/>
                <w:szCs w:val="28"/>
                <w:lang w:val="en-US" w:eastAsia="zh-CN"/>
              </w:rPr>
              <w:t>87203339</w:t>
            </w:r>
          </w:p>
        </w:tc>
        <w:tc>
          <w:tcPr>
            <w:tcW w:w="1073" w:type="dxa"/>
            <w:vAlign w:val="center"/>
          </w:tcPr>
          <w:p w14:paraId="2AAE3EA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674BD62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imes New Roman" w:hAnsi="Times New Roman" w:eastAsia="方正仿宋简体" w:cs="Times New Roman"/>
                <w:color w:val="auto"/>
                <w:lang w:val="en-US"/>
              </w:rPr>
            </w:pPr>
            <w:r>
              <w:rPr>
                <w:rFonts w:hint="default" w:ascii="Times New Roman" w:hAnsi="Times New Roman" w:eastAsia="仿宋_GB2312" w:cs="Times New Roman"/>
                <w:bCs/>
                <w:color w:val="auto"/>
                <w:spacing w:val="6"/>
                <w:szCs w:val="28"/>
                <w:lang w:val="en-US" w:eastAsia="zh-CN"/>
              </w:rPr>
              <w:t>18811781968</w:t>
            </w:r>
          </w:p>
        </w:tc>
      </w:tr>
    </w:tbl>
    <w:p w14:paraId="1ECF44E1">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7E7D3E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1832E22">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D34297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夕乐园筑暖，智慧化安居：</w:t>
            </w:r>
          </w:p>
          <w:p w14:paraId="60437EE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4"/>
                <w:szCs w:val="24"/>
                <w:lang w:val="en-US" w:eastAsia="zh-CN"/>
              </w:rPr>
              <w:t>街乡区域养老服务中心“服务包”可持续运营解决方案</w:t>
            </w:r>
          </w:p>
        </w:tc>
      </w:tr>
      <w:tr w14:paraId="292229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475"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F63BECA">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DDA52BD">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both"/>
              <w:textAlignment w:val="auto"/>
              <w:rPr>
                <w:rFonts w:hint="default"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社会科学（民生保障）</w:t>
            </w:r>
          </w:p>
        </w:tc>
      </w:tr>
      <w:tr w14:paraId="6363BB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589"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1E4588F">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D6A6356">
            <w:pPr>
              <w:keepNext w:val="0"/>
              <w:keepLines w:val="0"/>
              <w:pageBreakBefore w:val="0"/>
              <w:widowControl w:val="0"/>
              <w:kinsoku/>
              <w:wordWrap w:val="0"/>
              <w:overflowPunct/>
              <w:topLinePunct w:val="0"/>
              <w:autoSpaceDE/>
              <w:autoSpaceDN/>
              <w:bidi w:val="0"/>
              <w:adjustRightInd w:val="0"/>
              <w:snapToGrid w:val="0"/>
              <w:spacing w:line="400" w:lineRule="exact"/>
              <w:ind w:firstLine="504" w:firstLineChars="200"/>
              <w:jc w:val="both"/>
              <w:textAlignment w:val="auto"/>
              <w:rPr>
                <w:rFonts w:hint="default" w:ascii="仿宋" w:hAnsi="仿宋" w:eastAsia="仿宋" w:cs="仿宋"/>
                <w:bCs/>
                <w:spacing w:val="6"/>
                <w:sz w:val="24"/>
                <w:szCs w:val="24"/>
                <w:lang w:val="en-US" w:eastAsia="zh-CN"/>
              </w:rPr>
            </w:pPr>
            <w:r>
              <w:rPr>
                <w:rFonts w:hint="eastAsia" w:ascii="仿宋" w:hAnsi="仿宋" w:eastAsia="仿宋" w:cs="仿宋"/>
                <w:bCs/>
                <w:spacing w:val="6"/>
                <w:sz w:val="24"/>
                <w:szCs w:val="24"/>
                <w:lang w:val="en-US" w:eastAsia="zh-CN"/>
              </w:rPr>
              <w:t>2024年末，北京市60周岁及以上常住人口为514万人，占常住人口总数的23.5%；65周岁及以上常住人口为359.6万人，占比16.5%。“十五五”时期，北京市老龄化进程迅猛且高龄化趋势显著，预计60岁及以上老年人口从2024年的514万人增长至2030年的约623万人，占比从23.5%上升至29%左右；80岁及以上高龄老人将增至96万。老年群体的各类养老服务需求日益凸显。目前，北京已建成155家区域养老服务中心和1500多家养老驿站，然而养老服务供需仍存在失匹配现象，银发经济的发展也不顺畅。</w:t>
            </w:r>
          </w:p>
          <w:p w14:paraId="3B27D639">
            <w:pPr>
              <w:keepNext w:val="0"/>
              <w:keepLines w:val="0"/>
              <w:pageBreakBefore w:val="0"/>
              <w:widowControl w:val="0"/>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 w:hAnsi="仿宋" w:eastAsia="仿宋" w:cs="仿宋"/>
                <w:bCs/>
                <w:spacing w:val="6"/>
                <w:sz w:val="24"/>
                <w:szCs w:val="24"/>
                <w:lang w:val="en-US" w:eastAsia="zh-CN"/>
              </w:rPr>
            </w:pPr>
            <w:r>
              <w:rPr>
                <w:rFonts w:hint="eastAsia" w:ascii="仿宋" w:hAnsi="仿宋" w:eastAsia="仿宋" w:cs="仿宋"/>
                <w:bCs/>
                <w:spacing w:val="6"/>
                <w:sz w:val="24"/>
                <w:szCs w:val="24"/>
                <w:lang w:val="en-US" w:eastAsia="zh-CN"/>
              </w:rPr>
              <w:t>西罗园街道作为老龄化率突出的典型社区，面临着严峻挑战。街道老年群体呈现出“三高一难”特征：高龄化程度高、特殊困难群体占比高、居家养老风险高且专业照护力量薄弱。目前街道已搭建“夕乐园”智慧养联体平台，构建出“7助”服务体系与三级服务框架，但养老服务“悬浮困境”仍未缓解。现有服务与老人需求不匹配，智慧助老平台在操作便捷性、需求识别等方面存在短板；街道区域养老服务中心面临着运营困境，治理效能不高。西罗园街道希望以若干“服务包”的形式整合辖区内的养老服务资源，链接服务供给方和需求方，区域养老服务中心治理效能不断提高，在满足老年人服务需求的同时，多元主体也能可持续发展。</w:t>
            </w:r>
          </w:p>
          <w:p w14:paraId="260581DF">
            <w:pPr>
              <w:keepNext w:val="0"/>
              <w:keepLines w:val="0"/>
              <w:pageBreakBefore w:val="0"/>
              <w:widowControl w:val="0"/>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_GB2312" w:hAnsi="仿宋_GB2312" w:eastAsia="仿宋_GB2312" w:cs="仿宋_GB2312"/>
                <w:b w:val="0"/>
                <w:bCs/>
                <w:color w:val="000000"/>
                <w:spacing w:val="6"/>
                <w:szCs w:val="28"/>
                <w:lang w:val="en-US" w:eastAsia="zh-CN"/>
              </w:rPr>
            </w:pPr>
            <w:r>
              <w:rPr>
                <w:rFonts w:hint="eastAsia" w:ascii="仿宋" w:hAnsi="仿宋" w:eastAsia="仿宋" w:cs="仿宋"/>
                <w:bCs/>
                <w:spacing w:val="6"/>
                <w:sz w:val="24"/>
                <w:szCs w:val="24"/>
                <w:lang w:val="en-US" w:eastAsia="zh-CN"/>
              </w:rPr>
              <w:t>希望研究团队站在三级养老服务体系的最末端，以区域养老服务中心为载体，为西罗园街道设计出一套行之有效的基层养老服务</w:t>
            </w:r>
            <w:r>
              <w:rPr>
                <w:rFonts w:hint="eastAsia" w:ascii="仿宋" w:hAnsi="仿宋" w:eastAsia="仿宋" w:cs="仿宋"/>
                <w:sz w:val="24"/>
                <w:szCs w:val="24"/>
                <w:lang w:val="en-US" w:eastAsia="zh-CN"/>
              </w:rPr>
              <w:t>“服务包”可持续运营解决方案。</w:t>
            </w:r>
          </w:p>
        </w:tc>
      </w:tr>
      <w:tr w14:paraId="2EC025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775"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5CFB886">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E88ABEA">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 w:hAnsi="仿宋" w:eastAsia="仿宋" w:cs="仿宋"/>
                <w:bCs/>
                <w:spacing w:val="6"/>
                <w:sz w:val="24"/>
                <w:szCs w:val="24"/>
                <w:lang w:val="en-US" w:eastAsia="zh-CN"/>
              </w:rPr>
            </w:pPr>
            <w:r>
              <w:rPr>
                <w:rFonts w:hint="eastAsia" w:ascii="仿宋" w:hAnsi="仿宋" w:eastAsia="仿宋" w:cs="仿宋"/>
                <w:bCs/>
                <w:spacing w:val="6"/>
                <w:sz w:val="24"/>
                <w:szCs w:val="24"/>
                <w:lang w:val="en-US" w:eastAsia="zh-CN"/>
              </w:rPr>
              <w:t xml:space="preserve">总体要求：基于“服务包”理念，为街道区域养老服务中心设计可直接落地的可持续运营解决方案，突出高校专业优势与实操性。 </w:t>
            </w:r>
          </w:p>
          <w:p w14:paraId="3C283DAE">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 w:hAnsi="仿宋" w:eastAsia="仿宋" w:cs="仿宋"/>
                <w:bCs/>
                <w:spacing w:val="6"/>
                <w:sz w:val="24"/>
                <w:szCs w:val="24"/>
                <w:lang w:val="en-US" w:eastAsia="zh-CN"/>
              </w:rPr>
            </w:pPr>
            <w:r>
              <w:rPr>
                <w:rFonts w:hint="eastAsia" w:ascii="仿宋" w:hAnsi="仿宋" w:eastAsia="仿宋" w:cs="仿宋"/>
                <w:bCs/>
                <w:spacing w:val="6"/>
                <w:sz w:val="24"/>
                <w:szCs w:val="24"/>
                <w:lang w:val="en-US" w:eastAsia="zh-CN" w:bidi="ar-SA"/>
              </w:rPr>
              <w:t>1.</w:t>
            </w:r>
            <w:r>
              <w:rPr>
                <w:rFonts w:hint="eastAsia" w:ascii="仿宋" w:hAnsi="仿宋" w:eastAsia="仿宋" w:cs="仿宋"/>
                <w:bCs/>
                <w:spacing w:val="6"/>
                <w:sz w:val="24"/>
                <w:szCs w:val="24"/>
                <w:lang w:val="en-US" w:eastAsia="zh-CN"/>
              </w:rPr>
              <w:t>调研层面：结合高校社会工作、市场营销等专业特长，开展“问卷+入户+机构访谈”三维调研，形成《西罗园养老服务供需与服务商对比分析报告》，明确老旧小区老人核心需求与不同服务商优劣势。</w:t>
            </w:r>
          </w:p>
          <w:p w14:paraId="229D6820">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 w:hAnsi="仿宋" w:eastAsia="仿宋" w:cs="仿宋"/>
                <w:bCs/>
                <w:spacing w:val="6"/>
                <w:sz w:val="24"/>
                <w:szCs w:val="24"/>
                <w:lang w:val="en-US" w:eastAsia="zh-CN"/>
              </w:rPr>
            </w:pPr>
            <w:r>
              <w:rPr>
                <w:rFonts w:hint="eastAsia" w:ascii="仿宋" w:hAnsi="仿宋" w:eastAsia="仿宋" w:cs="仿宋"/>
                <w:bCs/>
                <w:spacing w:val="6"/>
                <w:sz w:val="24"/>
                <w:szCs w:val="24"/>
                <w:lang w:val="en-US" w:eastAsia="zh-CN"/>
              </w:rPr>
              <w:t xml:space="preserve">2.服务包设计：针对老旧小区社区居家养老服务需求痛点、老人付费意愿低等特点，分层设计“兜底+普惠+个性”三类服务包，明确服务内容、定价标准、适配场景（如无电梯上门、窄空间作业）。 </w:t>
            </w:r>
          </w:p>
          <w:p w14:paraId="7D49802B">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 w:hAnsi="仿宋" w:eastAsia="仿宋" w:cs="仿宋"/>
                <w:bCs/>
                <w:spacing w:val="6"/>
                <w:sz w:val="24"/>
                <w:szCs w:val="24"/>
                <w:lang w:val="en-US" w:eastAsia="zh-CN"/>
              </w:rPr>
            </w:pPr>
            <w:r>
              <w:rPr>
                <w:rFonts w:hint="eastAsia" w:ascii="仿宋" w:hAnsi="仿宋" w:eastAsia="仿宋" w:cs="仿宋"/>
                <w:bCs/>
                <w:spacing w:val="6"/>
                <w:sz w:val="24"/>
                <w:szCs w:val="24"/>
                <w:lang w:val="en-US" w:eastAsia="zh-CN"/>
              </w:rPr>
              <w:t>3.资源整合：以“夕乐园”平台为依托，提出服务商准入标准、权责划分与合作模式，重点整合京东家政等专业机构、社区合规小作坊、养老驿站三类供给主体。</w:t>
            </w:r>
          </w:p>
          <w:p w14:paraId="42227691">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 w:hAnsi="仿宋" w:eastAsia="仿宋" w:cs="仿宋"/>
                <w:bCs/>
                <w:spacing w:val="6"/>
                <w:sz w:val="24"/>
                <w:szCs w:val="24"/>
                <w:lang w:val="en-US" w:eastAsia="zh-CN"/>
              </w:rPr>
            </w:pPr>
            <w:r>
              <w:rPr>
                <w:rFonts w:hint="eastAsia" w:ascii="仿宋" w:hAnsi="仿宋" w:eastAsia="仿宋" w:cs="仿宋"/>
                <w:bCs/>
                <w:spacing w:val="6"/>
                <w:sz w:val="24"/>
                <w:szCs w:val="24"/>
                <w:lang w:val="en-US" w:eastAsia="zh-CN"/>
              </w:rPr>
              <w:t xml:space="preserve">4.运营机制：设计“政府引导、企业参与、学生赋能、百姓受益”的闭环运营方案，明确三方付费比例、利益分成规则、宣传推广路径（含学生线上带货方案）。 </w:t>
            </w:r>
          </w:p>
          <w:p w14:paraId="0F22294A">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_GB2312" w:hAnsi="仿宋_GB2312" w:eastAsia="仿宋_GB2312" w:cs="仿宋_GB2312"/>
                <w:b w:val="0"/>
                <w:bCs/>
                <w:color w:val="000000"/>
                <w:spacing w:val="6"/>
                <w:szCs w:val="28"/>
              </w:rPr>
            </w:pPr>
            <w:r>
              <w:rPr>
                <w:rFonts w:hint="eastAsia" w:ascii="仿宋" w:hAnsi="仿宋" w:eastAsia="仿宋" w:cs="仿宋"/>
                <w:bCs/>
                <w:spacing w:val="6"/>
                <w:sz w:val="24"/>
                <w:szCs w:val="24"/>
                <w:lang w:val="en-US" w:eastAsia="zh-CN"/>
              </w:rPr>
              <w:t>5.落地保障：方案需包含试点推进计划（至少3个）、服务质量监管机制、动态优化流程，确保可直接投入运营。</w:t>
            </w:r>
          </w:p>
        </w:tc>
      </w:tr>
      <w:tr w14:paraId="6B6F03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6F841">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0385F89A">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E2B8D9">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left="-12" w:leftChars="0" w:firstLine="252" w:firstLineChars="0"/>
              <w:jc w:val="both"/>
              <w:textAlignment w:val="auto"/>
              <w:rPr>
                <w:rFonts w:hint="eastAsia" w:ascii="仿宋" w:hAnsi="仿宋" w:eastAsia="仿宋" w:cs="仿宋"/>
                <w:bCs/>
                <w:spacing w:val="6"/>
                <w:sz w:val="24"/>
                <w:szCs w:val="24"/>
                <w:lang w:val="en-US" w:eastAsia="zh-CN"/>
              </w:rPr>
            </w:pPr>
            <w:r>
              <w:rPr>
                <w:rFonts w:hint="eastAsia" w:ascii="仿宋" w:hAnsi="仿宋" w:eastAsia="仿宋" w:cs="仿宋"/>
                <w:bCs/>
                <w:spacing w:val="6"/>
                <w:sz w:val="24"/>
                <w:szCs w:val="24"/>
                <w:lang w:val="en-US" w:eastAsia="zh-CN" w:bidi="ar-SA"/>
              </w:rPr>
              <w:t>1.</w:t>
            </w:r>
            <w:r>
              <w:rPr>
                <w:rFonts w:hint="eastAsia" w:ascii="仿宋" w:hAnsi="仿宋" w:eastAsia="仿宋" w:cs="仿宋"/>
                <w:bCs/>
                <w:spacing w:val="6"/>
                <w:sz w:val="24"/>
                <w:szCs w:val="24"/>
                <w:lang w:val="en-US" w:eastAsia="zh-CN"/>
              </w:rPr>
              <w:t>服务包科学性：是否基于真实调研，适配老旧小区特点与老人需求，定价合理、内容可落地；</w:t>
            </w:r>
          </w:p>
          <w:p w14:paraId="63708777">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left="-12" w:leftChars="0" w:firstLine="252" w:firstLineChars="0"/>
              <w:jc w:val="both"/>
              <w:textAlignment w:val="auto"/>
              <w:rPr>
                <w:rFonts w:hint="eastAsia" w:ascii="仿宋" w:hAnsi="仿宋" w:eastAsia="仿宋" w:cs="仿宋"/>
                <w:bCs/>
                <w:spacing w:val="6"/>
                <w:sz w:val="24"/>
                <w:szCs w:val="24"/>
                <w:lang w:val="en-US" w:eastAsia="zh-CN"/>
              </w:rPr>
            </w:pPr>
            <w:r>
              <w:rPr>
                <w:rFonts w:hint="eastAsia" w:ascii="仿宋" w:hAnsi="仿宋" w:eastAsia="仿宋" w:cs="仿宋"/>
                <w:bCs/>
                <w:spacing w:val="6"/>
                <w:sz w:val="24"/>
                <w:szCs w:val="24"/>
                <w:lang w:val="en-US" w:eastAsia="zh-CN" w:bidi="ar-SA"/>
              </w:rPr>
              <w:t>2.</w:t>
            </w:r>
            <w:r>
              <w:rPr>
                <w:rFonts w:hint="eastAsia" w:ascii="仿宋" w:hAnsi="仿宋" w:eastAsia="仿宋" w:cs="仿宋"/>
                <w:bCs/>
                <w:spacing w:val="6"/>
                <w:sz w:val="24"/>
                <w:szCs w:val="24"/>
                <w:lang w:val="en-US" w:eastAsia="zh-CN"/>
              </w:rPr>
              <w:t>覆盖规模：服务包可覆盖老人数量（重点考核“老老人”“特殊困难老人”覆盖比例）；</w:t>
            </w:r>
          </w:p>
          <w:p w14:paraId="314103DE">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left="-12" w:leftChars="0" w:firstLine="252" w:firstLineChars="0"/>
              <w:jc w:val="both"/>
              <w:textAlignment w:val="auto"/>
              <w:rPr>
                <w:rFonts w:hint="eastAsia" w:ascii="仿宋" w:hAnsi="仿宋" w:eastAsia="仿宋" w:cs="仿宋"/>
                <w:bCs/>
                <w:spacing w:val="6"/>
                <w:sz w:val="24"/>
                <w:szCs w:val="24"/>
                <w:lang w:val="en-US" w:eastAsia="zh-CN"/>
              </w:rPr>
            </w:pPr>
            <w:r>
              <w:rPr>
                <w:rFonts w:hint="eastAsia" w:ascii="仿宋" w:hAnsi="仿宋" w:eastAsia="仿宋" w:cs="仿宋"/>
                <w:bCs/>
                <w:spacing w:val="6"/>
                <w:sz w:val="24"/>
                <w:szCs w:val="24"/>
                <w:lang w:val="en-US" w:eastAsia="zh-CN" w:bidi="ar-SA"/>
              </w:rPr>
              <w:t>3.</w:t>
            </w:r>
            <w:r>
              <w:rPr>
                <w:rFonts w:hint="eastAsia" w:ascii="仿宋" w:hAnsi="仿宋" w:eastAsia="仿宋" w:cs="仿宋"/>
                <w:bCs/>
                <w:spacing w:val="6"/>
                <w:sz w:val="24"/>
                <w:szCs w:val="24"/>
                <w:lang w:val="en-US" w:eastAsia="zh-CN"/>
              </w:rPr>
              <w:t>主体积极性：是否建立有效激励机制，提升服务商参与度，保障服务质量；</w:t>
            </w:r>
          </w:p>
          <w:p w14:paraId="136FF153">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left="-12" w:leftChars="0" w:firstLine="252" w:firstLineChars="0"/>
              <w:jc w:val="both"/>
              <w:textAlignment w:val="auto"/>
              <w:rPr>
                <w:rFonts w:hint="eastAsia" w:ascii="仿宋" w:hAnsi="仿宋" w:eastAsia="仿宋" w:cs="仿宋"/>
                <w:bCs/>
                <w:spacing w:val="6"/>
                <w:sz w:val="24"/>
                <w:szCs w:val="24"/>
                <w:lang w:val="en-US" w:eastAsia="zh-CN"/>
              </w:rPr>
            </w:pPr>
            <w:r>
              <w:rPr>
                <w:rFonts w:hint="eastAsia" w:ascii="仿宋" w:hAnsi="仿宋" w:eastAsia="仿宋" w:cs="仿宋"/>
                <w:bCs/>
                <w:spacing w:val="6"/>
                <w:sz w:val="24"/>
                <w:szCs w:val="24"/>
                <w:lang w:val="en-US" w:eastAsia="zh-CN" w:bidi="ar-SA"/>
              </w:rPr>
              <w:t>4.</w:t>
            </w:r>
            <w:r>
              <w:rPr>
                <w:rFonts w:hint="eastAsia" w:ascii="仿宋" w:hAnsi="仿宋" w:eastAsia="仿宋" w:cs="仿宋"/>
                <w:bCs/>
                <w:spacing w:val="6"/>
                <w:sz w:val="24"/>
                <w:szCs w:val="24"/>
                <w:lang w:val="en-US" w:eastAsia="zh-CN"/>
              </w:rPr>
              <w:t>经济社会效益：是否实现“三方付费”正向循环，企业可实现微利可持续，老人付费压力可控，社会养老效能提升；</w:t>
            </w:r>
          </w:p>
          <w:p w14:paraId="6EAAB2E1">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left="240" w:leftChars="0"/>
              <w:jc w:val="both"/>
              <w:textAlignment w:val="auto"/>
              <w:rPr>
                <w:rFonts w:hint="default" w:ascii="仿宋" w:hAnsi="仿宋" w:eastAsia="仿宋" w:cs="仿宋"/>
                <w:bCs/>
                <w:spacing w:val="6"/>
                <w:sz w:val="24"/>
                <w:szCs w:val="24"/>
                <w:lang w:val="en-US" w:eastAsia="zh-CN"/>
              </w:rPr>
            </w:pPr>
            <w:r>
              <w:rPr>
                <w:rFonts w:hint="eastAsia" w:ascii="仿宋" w:hAnsi="仿宋" w:eastAsia="仿宋" w:cs="仿宋"/>
                <w:bCs/>
                <w:spacing w:val="6"/>
                <w:sz w:val="24"/>
                <w:szCs w:val="24"/>
                <w:lang w:val="en-US" w:eastAsia="zh-CN"/>
              </w:rPr>
              <w:t>5. 高校赋能：是否充分发挥高校专业优势（如调研分析、方案设计）与宣传优势（如线上带货、社群推广），体现校地协同特色。</w:t>
            </w:r>
          </w:p>
        </w:tc>
      </w:tr>
      <w:tr w14:paraId="37B09A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F41D19C">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7BEF961">
            <w:pPr>
              <w:keepNext w:val="0"/>
              <w:keepLines w:val="0"/>
              <w:pageBreakBefore w:val="0"/>
              <w:widowControl w:val="0"/>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鼓励高校团队组建跨专业团队（社会工作、市场营销、经济学等），街道将全程开放调研资源与落地场景，支持方案转化为实际服务项目。</w:t>
            </w:r>
          </w:p>
        </w:tc>
      </w:tr>
    </w:tbl>
    <w:p w14:paraId="1446EDE5">
      <w:pPr>
        <w:keepNext w:val="0"/>
        <w:keepLines w:val="0"/>
        <w:pageBreakBefore w:val="0"/>
        <w:widowControl w:val="0"/>
        <w:kinsoku/>
        <w:wordWrap w:val="0"/>
        <w:topLinePunct w:val="0"/>
        <w:autoSpaceDE/>
        <w:autoSpaceDN/>
        <w:bidi w:val="0"/>
        <w:rPr>
          <w:rFonts w:hint="eastAsia" w:ascii="方正黑体简体" w:eastAsia="方正黑体简体"/>
          <w:bCs/>
          <w:color w:val="auto"/>
          <w:spacing w:val="6"/>
          <w:sz w:val="32"/>
          <w:szCs w:val="32"/>
        </w:rPr>
      </w:pPr>
      <w:r>
        <w:rPr>
          <w:rFonts w:hint="eastAsia" w:ascii="方正黑体简体" w:eastAsia="方正黑体简体"/>
          <w:bCs/>
          <w:color w:val="auto"/>
          <w:spacing w:val="6"/>
          <w:sz w:val="32"/>
          <w:szCs w:val="32"/>
        </w:rPr>
        <w:br w:type="page"/>
      </w:r>
    </w:p>
    <w:p w14:paraId="7567D5DB">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51CB04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923"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B4BDDF8">
            <w:pPr>
              <w:keepNext w:val="0"/>
              <w:keepLines w:val="0"/>
              <w:pageBreakBefore w:val="0"/>
              <w:widowControl w:val="0"/>
              <w:kinsoku/>
              <w:wordWrap w:val="0"/>
              <w:topLinePunct w:val="0"/>
              <w:autoSpaceDE/>
              <w:autoSpaceDN/>
              <w:bidi w:val="0"/>
              <w:adjustRightInd w:val="0"/>
              <w:snapToGrid w:val="0"/>
              <w:spacing w:line="40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2897943">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 w:val="24"/>
                <w:szCs w:val="28"/>
                <w:lang w:val="en-US" w:eastAsia="zh-CN" w:bidi="ar-SA"/>
              </w:rPr>
              <w:t>1.</w:t>
            </w:r>
            <w:r>
              <w:rPr>
                <w:rFonts w:hint="eastAsia" w:ascii="仿宋_GB2312" w:hAnsi="仿宋_GB2312" w:eastAsia="仿宋_GB2312" w:cs="仿宋_GB2312"/>
                <w:b w:val="0"/>
                <w:bCs/>
                <w:color w:val="000000"/>
                <w:spacing w:val="6"/>
                <w:szCs w:val="28"/>
                <w:lang w:val="en-US" w:eastAsia="zh-CN"/>
              </w:rPr>
              <w:t>调研支持：开放街道养老服务数据（供需数据、服务商名录），协调21个社区、部分特殊老人家庭、20余家服务商供团队实地访谈与数据采集；</w:t>
            </w:r>
          </w:p>
          <w:p w14:paraId="4846CD59">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 w:val="24"/>
                <w:szCs w:val="28"/>
                <w:lang w:val="en-GB" w:eastAsia="zh-CN" w:bidi="ar-SA"/>
              </w:rPr>
              <w:t>2.</w:t>
            </w:r>
            <w:r>
              <w:rPr>
                <w:rFonts w:hint="eastAsia" w:ascii="仿宋_GB2312" w:hAnsi="仿宋_GB2312" w:eastAsia="仿宋_GB2312" w:cs="仿宋_GB2312"/>
                <w:b w:val="0"/>
                <w:bCs/>
                <w:color w:val="000000"/>
                <w:spacing w:val="6"/>
                <w:szCs w:val="28"/>
                <w:lang w:val="en-US" w:eastAsia="zh-CN"/>
              </w:rPr>
              <w:t>实践支撑：提供养老活动中心、“夕乐园”居家智慧养联体平台接口作为实践场地与技术支撑，协助团队开展服务包试点运营；</w:t>
            </w:r>
          </w:p>
          <w:p w14:paraId="3777554B">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3.双导师指导：配备街道民生办业务骨干+高校专业导师联合指导，全程对接需求、优化方案；</w:t>
            </w:r>
          </w:p>
          <w:p w14:paraId="3F5ABFBF">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4.资源对接：组织中邮时代、意馨夕阳乐苑等核心服务商与团队面对面沟通，推动合作意向落地；</w:t>
            </w:r>
          </w:p>
          <w:p w14:paraId="165D92A4">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val="en-US" w:eastAsia="zh-CN"/>
              </w:rPr>
              <w:t>5.宣传支持：街道官方公众号、社区社群为团队宣传推广提供背书，协助开展服务包带货活动。</w:t>
            </w:r>
          </w:p>
        </w:tc>
      </w:tr>
      <w:tr w14:paraId="74830F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753"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62A0C19">
            <w:pPr>
              <w:keepNext w:val="0"/>
              <w:keepLines w:val="0"/>
              <w:pageBreakBefore w:val="0"/>
              <w:widowControl w:val="0"/>
              <w:kinsoku/>
              <w:wordWrap w:val="0"/>
              <w:topLinePunct w:val="0"/>
              <w:autoSpaceDE/>
              <w:autoSpaceDN/>
              <w:bidi w:val="0"/>
              <w:adjustRightInd w:val="0"/>
              <w:snapToGrid w:val="0"/>
              <w:spacing w:line="40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D79B367">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_GB2312" w:hAnsi="仿宋_GB2312" w:eastAsia="仿宋_GB2312" w:cs="仿宋_GB2312"/>
                <w:b w:val="0"/>
                <w:bCs/>
                <w:color w:val="000000"/>
                <w:spacing w:val="6"/>
                <w:sz w:val="24"/>
                <w:szCs w:val="28"/>
                <w:lang w:val="en-US" w:eastAsia="zh-CN" w:bidi="ar-SA"/>
              </w:rPr>
            </w:pPr>
            <w:r>
              <w:rPr>
                <w:rFonts w:hint="eastAsia" w:ascii="仿宋_GB2312" w:hAnsi="仿宋_GB2312" w:eastAsia="仿宋_GB2312" w:cs="仿宋_GB2312"/>
                <w:b w:val="0"/>
                <w:bCs/>
                <w:color w:val="000000"/>
                <w:spacing w:val="6"/>
                <w:sz w:val="24"/>
                <w:szCs w:val="28"/>
                <w:lang w:val="en-US" w:eastAsia="zh-CN" w:bidi="ar-SA"/>
              </w:rPr>
              <w:t>一、奖项设置</w:t>
            </w:r>
          </w:p>
          <w:p w14:paraId="02AE4126">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_GB2312" w:hAnsi="仿宋_GB2312" w:eastAsia="仿宋_GB2312" w:cs="仿宋_GB2312"/>
                <w:b w:val="0"/>
                <w:bCs/>
                <w:color w:val="000000"/>
                <w:spacing w:val="6"/>
                <w:sz w:val="24"/>
                <w:szCs w:val="28"/>
                <w:lang w:val="en-US" w:eastAsia="zh-CN" w:bidi="ar-SA"/>
              </w:rPr>
            </w:pPr>
            <w:r>
              <w:rPr>
                <w:rFonts w:hint="eastAsia" w:ascii="仿宋_GB2312" w:hAnsi="仿宋_GB2312" w:eastAsia="仿宋_GB2312" w:cs="仿宋_GB2312"/>
                <w:b w:val="0"/>
                <w:bCs/>
                <w:color w:val="000000"/>
                <w:spacing w:val="6"/>
                <w:sz w:val="24"/>
                <w:szCs w:val="28"/>
                <w:lang w:val="en-US" w:eastAsia="zh-CN" w:bidi="ar-SA"/>
              </w:rPr>
              <w:t>原则上设“擂主”团队1个，根据实际情况评出相应的特等奖、一等奖、二等奖、三等奖项目若干。</w:t>
            </w:r>
          </w:p>
          <w:p w14:paraId="04D6B4D9">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_GB2312" w:hAnsi="仿宋_GB2312" w:eastAsia="仿宋_GB2312" w:cs="仿宋_GB2312"/>
                <w:b w:val="0"/>
                <w:bCs/>
                <w:color w:val="000000"/>
                <w:spacing w:val="6"/>
                <w:sz w:val="24"/>
                <w:szCs w:val="28"/>
                <w:lang w:val="en-US" w:eastAsia="zh-CN" w:bidi="ar-SA"/>
              </w:rPr>
            </w:pPr>
            <w:r>
              <w:rPr>
                <w:rFonts w:hint="eastAsia" w:ascii="仿宋_GB2312" w:hAnsi="仿宋_GB2312" w:eastAsia="仿宋_GB2312" w:cs="仿宋_GB2312"/>
                <w:b w:val="0"/>
                <w:bCs/>
                <w:color w:val="000000"/>
                <w:spacing w:val="6"/>
                <w:sz w:val="24"/>
                <w:szCs w:val="28"/>
                <w:lang w:val="en-US" w:eastAsia="zh-CN" w:bidi="ar-SA"/>
              </w:rPr>
              <w:t>二、激励措施</w:t>
            </w:r>
          </w:p>
          <w:p w14:paraId="0D7F68C8">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_GB2312" w:hAnsi="仿宋_GB2312" w:eastAsia="仿宋_GB2312" w:cs="仿宋_GB2312"/>
                <w:b w:val="0"/>
                <w:bCs/>
                <w:color w:val="000000"/>
                <w:spacing w:val="6"/>
                <w:sz w:val="24"/>
                <w:szCs w:val="28"/>
                <w:lang w:val="en-US" w:eastAsia="zh-CN" w:bidi="ar-SA"/>
              </w:rPr>
            </w:pPr>
            <w:r>
              <w:rPr>
                <w:rFonts w:hint="eastAsia" w:ascii="仿宋_GB2312" w:hAnsi="仿宋_GB2312" w:eastAsia="仿宋_GB2312" w:cs="仿宋_GB2312"/>
                <w:b w:val="0"/>
                <w:bCs/>
                <w:color w:val="000000"/>
                <w:spacing w:val="6"/>
                <w:sz w:val="24"/>
                <w:szCs w:val="28"/>
                <w:lang w:val="en-US" w:eastAsia="zh-CN" w:bidi="ar-SA"/>
              </w:rPr>
              <w:t>1.擂主团队：街道提供为期6个月的创业实践孵化支持（含场地、资源对接、政策指导）；可长期参与“夕乐园”居家智慧养联体工作，力推参与各类丰台区养老产业展示机会；团队核心成员可获得街道民生办、合作企业实习岗位（优先录用）；</w:t>
            </w:r>
          </w:p>
          <w:p w14:paraId="48CC4AF9">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_GB2312" w:hAnsi="仿宋_GB2312" w:eastAsia="仿宋_GB2312" w:cs="仿宋_GB2312"/>
                <w:b w:val="0"/>
                <w:bCs/>
                <w:color w:val="000000"/>
                <w:spacing w:val="6"/>
                <w:sz w:val="24"/>
                <w:szCs w:val="28"/>
                <w:lang w:val="en-US" w:eastAsia="zh-CN" w:bidi="ar-SA"/>
              </w:rPr>
            </w:pPr>
            <w:r>
              <w:rPr>
                <w:rFonts w:hint="eastAsia" w:ascii="仿宋_GB2312" w:hAnsi="仿宋_GB2312" w:eastAsia="仿宋_GB2312" w:cs="仿宋_GB2312"/>
                <w:b w:val="0"/>
                <w:bCs/>
                <w:color w:val="000000"/>
                <w:spacing w:val="6"/>
                <w:sz w:val="24"/>
                <w:szCs w:val="28"/>
                <w:lang w:val="en-US" w:eastAsia="zh-CN" w:bidi="ar-SA"/>
              </w:rPr>
              <w:t>2.特等奖团队：获得服务包落地试点资格；团队成员可获得合作企业实习绿色通道；</w:t>
            </w:r>
          </w:p>
          <w:p w14:paraId="426C132B">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_GB2312" w:hAnsi="仿宋_GB2312" w:eastAsia="仿宋_GB2312" w:cs="仿宋_GB2312"/>
                <w:b w:val="0"/>
                <w:bCs/>
                <w:color w:val="000000"/>
                <w:spacing w:val="6"/>
                <w:sz w:val="24"/>
                <w:szCs w:val="28"/>
                <w:lang w:val="en-US" w:eastAsia="zh-CN" w:bidi="ar-SA"/>
              </w:rPr>
            </w:pPr>
            <w:r>
              <w:rPr>
                <w:rFonts w:hint="eastAsia" w:ascii="仿宋_GB2312" w:hAnsi="仿宋_GB2312" w:eastAsia="仿宋_GB2312" w:cs="仿宋_GB2312"/>
                <w:b w:val="0"/>
                <w:bCs/>
                <w:color w:val="000000"/>
                <w:spacing w:val="6"/>
                <w:sz w:val="24"/>
                <w:szCs w:val="28"/>
                <w:lang w:val="en-US" w:eastAsia="zh-CN" w:bidi="ar-SA"/>
              </w:rPr>
              <w:t>3.一等奖团队：颁发“西罗园街道养老服务创新实践团队”证书；优先参与街道后续养老服务项目调研；</w:t>
            </w:r>
          </w:p>
          <w:p w14:paraId="065863D5">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 w:val="24"/>
                <w:szCs w:val="28"/>
                <w:lang w:val="en-US" w:eastAsia="zh-CN" w:bidi="ar-SA"/>
              </w:rPr>
              <w:t>4.二等奖、三等奖团队；颁发荣誉证书；推荐参与丰台区养老服务创新交流活动；</w:t>
            </w:r>
          </w:p>
        </w:tc>
      </w:tr>
    </w:tbl>
    <w:p w14:paraId="4F66A67C">
      <w:pPr>
        <w:keepNext w:val="0"/>
        <w:keepLines w:val="0"/>
        <w:pageBreakBefore w:val="0"/>
        <w:widowControl/>
        <w:tabs>
          <w:tab w:val="left" w:pos="8640"/>
        </w:tabs>
        <w:kinsoku/>
        <w:wordWrap/>
        <w:topLinePunct w:val="0"/>
        <w:autoSpaceDE/>
        <w:autoSpaceDN/>
        <w:bidi w:val="0"/>
        <w:adjustRightInd w:val="0"/>
        <w:snapToGrid w:val="0"/>
        <w:spacing w:line="400" w:lineRule="exact"/>
        <w:ind w:firstLine="664" w:firstLineChars="200"/>
        <w:textAlignment w:val="auto"/>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525BC4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3684"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FA15655">
            <w:pPr>
              <w:keepNext w:val="0"/>
              <w:keepLines w:val="0"/>
              <w:pageBreakBefore w:val="0"/>
              <w:widowControl/>
              <w:kinsoku/>
              <w:wordWrap/>
              <w:overflowPunct w:val="0"/>
              <w:topLinePunct w:val="0"/>
              <w:autoSpaceDE/>
              <w:autoSpaceDN/>
              <w:bidi w:val="0"/>
              <w:adjustRightInd w:val="0"/>
              <w:snapToGrid w:val="0"/>
              <w:spacing w:line="400" w:lineRule="exact"/>
              <w:jc w:val="center"/>
              <w:textAlignment w:val="auto"/>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EBC06">
            <w:pPr>
              <w:keepNext w:val="0"/>
              <w:keepLines w:val="0"/>
              <w:pageBreakBefore w:val="0"/>
              <w:widowControl/>
              <w:kinsoku/>
              <w:wordWrap/>
              <w:overflowPunct w:val="0"/>
              <w:topLinePunct w:val="0"/>
              <w:autoSpaceDE/>
              <w:autoSpaceDN/>
              <w:bidi w:val="0"/>
              <w:adjustRightInd w:val="0"/>
              <w:snapToGrid w:val="0"/>
              <w:spacing w:line="400" w:lineRule="exact"/>
              <w:ind w:firstLine="504" w:firstLineChars="200"/>
              <w:textAlignment w:val="auto"/>
              <w:rPr>
                <w:rFonts w:hint="default" w:ascii="仿宋_GB2312" w:hAnsi="仿宋_GB2312" w:eastAsia="仿宋_GB2312" w:cs="仿宋_GB2312"/>
                <w:b w:val="0"/>
                <w:bCs/>
                <w:color w:val="auto"/>
                <w:spacing w:val="6"/>
                <w:szCs w:val="28"/>
                <w:u w:val="none"/>
                <w:lang w:val="en-US"/>
              </w:rPr>
            </w:pPr>
            <w:r>
              <w:rPr>
                <w:rFonts w:hint="eastAsia" w:ascii="仿宋_GB2312" w:hAnsi="仿宋_GB2312" w:eastAsia="仿宋_GB2312" w:cs="仿宋_GB2312"/>
                <w:b w:val="0"/>
                <w:bCs/>
                <w:color w:val="auto"/>
                <w:spacing w:val="6"/>
                <w:szCs w:val="28"/>
                <w:u w:val="none"/>
                <w:lang w:val="en-US" w:eastAsia="zh-CN"/>
              </w:rPr>
              <w:t>区域养老服务中心是北京三级养老服务体系的重要抓手，虽已建成155家区域养老服务中心，但前期调研发现，区域养老服务中心工作机制尚未理顺，治理效能不高。一方面，政府应如何支持区域养老服务中心尚缺乏可行路径；另一方面，区域养老服务中心应如何“突围”，走出可持续发展之路尚待探索。本选题旨在探索区域养老服务中心的可持续运营模式，为进一步完善北京三级养老服务体系提供支撑。</w:t>
            </w:r>
          </w:p>
        </w:tc>
      </w:tr>
      <w:tr w14:paraId="7361B8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479"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9CB96">
            <w:pPr>
              <w:keepNext w:val="0"/>
              <w:keepLines w:val="0"/>
              <w:pageBreakBefore w:val="0"/>
              <w:widowControl/>
              <w:kinsoku/>
              <w:wordWrap/>
              <w:overflowPunct w:val="0"/>
              <w:topLinePunct w:val="0"/>
              <w:autoSpaceDE/>
              <w:autoSpaceDN/>
              <w:bidi w:val="0"/>
              <w:adjustRightInd w:val="0"/>
              <w:snapToGrid w:val="0"/>
              <w:spacing w:line="400" w:lineRule="exact"/>
              <w:jc w:val="center"/>
              <w:textAlignment w:val="auto"/>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D6321">
            <w:pPr>
              <w:keepNext w:val="0"/>
              <w:keepLines w:val="0"/>
              <w:pageBreakBefore w:val="0"/>
              <w:widowControl/>
              <w:kinsoku/>
              <w:wordWrap/>
              <w:overflowPunct w:val="0"/>
              <w:topLinePunct w:val="0"/>
              <w:autoSpaceDE/>
              <w:autoSpaceDN/>
              <w:bidi w:val="0"/>
              <w:adjustRightInd w:val="0"/>
              <w:snapToGrid w:val="0"/>
              <w:spacing w:line="400" w:lineRule="exact"/>
              <w:ind w:firstLine="504" w:firstLineChars="200"/>
              <w:textAlignment w:val="auto"/>
              <w:rPr>
                <w:rFonts w:hint="default" w:ascii="仿宋_GB2312" w:hAnsi="仿宋_GB2312" w:eastAsia="仿宋_GB2312" w:cs="仿宋_GB2312"/>
                <w:b w:val="0"/>
                <w:bCs/>
                <w:color w:val="auto"/>
                <w:spacing w:val="6"/>
                <w:szCs w:val="28"/>
                <w:u w:val="none"/>
                <w:lang w:val="en-US" w:eastAsia="zh-CN"/>
              </w:rPr>
            </w:pPr>
            <w:r>
              <w:rPr>
                <w:rFonts w:hint="eastAsia" w:ascii="仿宋_GB2312" w:hAnsi="仿宋_GB2312" w:eastAsia="仿宋_GB2312" w:cs="仿宋_GB2312"/>
                <w:b w:val="0"/>
                <w:bCs/>
                <w:color w:val="auto"/>
                <w:spacing w:val="6"/>
                <w:szCs w:val="28"/>
                <w:u w:val="none"/>
                <w:lang w:val="en-US" w:eastAsia="zh-CN"/>
              </w:rPr>
              <w:t>西罗园街道的老旧小区老龄化特征在全市具有代表性，方案若落地成功，可直接惠及辖区3余万老人，且为全市150余家区域养老服务中心提供参考样本；通过“三方付费”机制激活银发经济，带动服务商增收，减轻政府养老财政压力，实现“老有所养、企业增效、政府减负”的多方共赢。若西罗园区域养老服务中心的养老“服务包”运营模式能探索成功，即养老服务供需机制更顺畅，多元主体协同机制能形成、可持续，那么将会对全市区域养老服务中心运营具有重要启示，产生不可估量的经济社会效益。</w:t>
            </w:r>
          </w:p>
        </w:tc>
      </w:tr>
    </w:tbl>
    <w:p w14:paraId="0181CD82">
      <w:pPr>
        <w:keepNext w:val="0"/>
        <w:keepLines w:val="0"/>
        <w:pageBreakBefore w:val="0"/>
        <w:widowControl w:val="0"/>
        <w:tabs>
          <w:tab w:val="left" w:pos="8640"/>
        </w:tabs>
        <w:kinsoku/>
        <w:wordWrap w:val="0"/>
        <w:topLinePunct w:val="0"/>
        <w:autoSpaceDE/>
        <w:autoSpaceDN/>
        <w:bidi w:val="0"/>
        <w:adjustRightInd w:val="0"/>
        <w:snapToGrid w:val="0"/>
        <w:spacing w:line="400" w:lineRule="exact"/>
        <w:ind w:firstLine="664" w:firstLineChars="200"/>
        <w:textAlignment w:val="auto"/>
        <w:rPr>
          <w:rFonts w:hint="eastAsia" w:ascii="方正黑体简体" w:eastAsia="方正黑体简体"/>
          <w:bCs/>
          <w:color w:val="auto"/>
          <w:spacing w:val="6"/>
          <w:sz w:val="32"/>
          <w:szCs w:val="32"/>
          <w:lang w:val="en-US" w:eastAsia="zh-CN"/>
        </w:rPr>
      </w:pPr>
    </w:p>
    <w:p w14:paraId="416BC9AD">
      <w:pPr>
        <w:keepNext w:val="0"/>
        <w:keepLines w:val="0"/>
        <w:pageBreakBefore w:val="0"/>
        <w:widowControl w:val="0"/>
        <w:tabs>
          <w:tab w:val="left" w:pos="8640"/>
        </w:tabs>
        <w:kinsoku/>
        <w:wordWrap w:val="0"/>
        <w:topLinePunct w:val="0"/>
        <w:autoSpaceDE/>
        <w:autoSpaceDN/>
        <w:bidi w:val="0"/>
        <w:adjustRightInd w:val="0"/>
        <w:snapToGrid w:val="0"/>
        <w:spacing w:line="400" w:lineRule="exact"/>
        <w:ind w:firstLine="664" w:firstLineChars="200"/>
        <w:textAlignment w:val="auto"/>
        <w:rPr>
          <w:rFonts w:hint="eastAsia" w:ascii="方正黑体简体" w:eastAsia="方正黑体简体"/>
          <w:bCs/>
          <w:color w:val="auto"/>
          <w:spacing w:val="6"/>
          <w:sz w:val="32"/>
          <w:szCs w:val="32"/>
          <w:lang w:val="en-US" w:eastAsia="zh-CN"/>
        </w:rPr>
      </w:pPr>
    </w:p>
    <w:p w14:paraId="4B9E2C5D">
      <w:pPr>
        <w:keepNext w:val="0"/>
        <w:keepLines w:val="0"/>
        <w:pageBreakBefore w:val="0"/>
        <w:widowControl w:val="0"/>
        <w:kinsoku/>
        <w:wordWrap w:val="0"/>
        <w:topLinePunct w:val="0"/>
        <w:autoSpaceDE/>
        <w:autoSpaceDN/>
        <w:bidi w:val="0"/>
        <w:rPr>
          <w:rFonts w:hint="eastAsia" w:ascii="楷体_GB2312" w:hAnsi="楷体_GB2312" w:eastAsia="楷体_GB2312" w:cs="楷体_GB2312"/>
          <w:color w:val="auto"/>
        </w:rPr>
      </w:pPr>
      <w:r>
        <w:rPr>
          <w:rFonts w:hint="eastAsia" w:ascii="楷体_GB2312" w:hAnsi="楷体_GB2312" w:eastAsia="楷体_GB2312" w:cs="楷体_GB2312"/>
          <w:color w:val="auto"/>
        </w:rPr>
        <w:br w:type="page"/>
      </w:r>
    </w:p>
    <w:p w14:paraId="1520B90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74AC6C0B">
      <w:pPr>
        <w:widowControl w:val="0"/>
        <w:tabs>
          <w:tab w:val="left" w:pos="8640"/>
        </w:tabs>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—12</w:t>
      </w:r>
    </w:p>
    <w:p w14:paraId="3CC95B6B">
      <w:pPr>
        <w:keepNext w:val="0"/>
        <w:keepLines w:val="0"/>
        <w:pageBreakBefore w:val="0"/>
        <w:widowControl w:val="0"/>
        <w:tabs>
          <w:tab w:val="left" w:pos="8640"/>
        </w:tabs>
        <w:kinsoku/>
        <w:wordWrap w:val="0"/>
        <w:overflowPunct/>
        <w:topLinePunct w:val="0"/>
        <w:autoSpaceDE/>
        <w:autoSpaceDN/>
        <w:bidi w:val="0"/>
        <w:adjustRightInd w:val="0"/>
        <w:snapToGrid w:val="0"/>
        <w:spacing w:line="240" w:lineRule="auto"/>
        <w:textAlignment w:val="auto"/>
        <w:rPr>
          <w:rFonts w:ascii="方正黑体简体" w:eastAsia="方正黑体简体"/>
          <w:bCs/>
          <w:color w:val="auto"/>
          <w:spacing w:val="6"/>
          <w:sz w:val="21"/>
          <w:szCs w:val="21"/>
        </w:rPr>
      </w:pPr>
    </w:p>
    <w:p w14:paraId="2604186F">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06EE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19162C5A">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160124DB">
            <w:pPr>
              <w:keepNext w:val="0"/>
              <w:keepLines w:val="0"/>
              <w:pageBreakBefore w:val="0"/>
              <w:widowControl w:val="0"/>
              <w:kinsoku/>
              <w:wordWrap w:val="0"/>
              <w:topLinePunct w:val="0"/>
              <w:autoSpaceDE/>
              <w:autoSpaceDN/>
              <w:bidi w:val="0"/>
              <w:adjustRightInd w:val="0"/>
              <w:snapToGrid w:val="0"/>
              <w:jc w:val="center"/>
              <w:rPr>
                <w:rFonts w:hint="default" w:ascii="仿宋_GB2312" w:hAnsi="仿宋_GB2312" w:eastAsia="仿宋_GB2312" w:cs="仿宋_GB2312"/>
                <w:color w:val="auto"/>
                <w:lang w:val="en-US"/>
              </w:rPr>
            </w:pPr>
            <w:r>
              <w:rPr>
                <w:rFonts w:hint="eastAsia" w:ascii="仿宋_GB2312" w:hAnsi="仿宋_GB2312" w:eastAsia="仿宋_GB2312" w:cs="仿宋_GB2312"/>
                <w:bCs/>
                <w:color w:val="auto"/>
                <w:spacing w:val="6"/>
                <w:szCs w:val="28"/>
                <w:lang w:val="en-US" w:eastAsia="zh-CN"/>
              </w:rPr>
              <w:t>北京市丰台区人民政府和义街道办事处</w:t>
            </w:r>
          </w:p>
        </w:tc>
      </w:tr>
      <w:tr w14:paraId="6207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2665FD07">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70A071A8">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街道乡镇</w:t>
            </w:r>
          </w:p>
        </w:tc>
      </w:tr>
      <w:tr w14:paraId="4C868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4FAD3B62">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522BB399">
            <w:pPr>
              <w:keepNext w:val="0"/>
              <w:keepLines w:val="0"/>
              <w:pageBreakBefore w:val="0"/>
              <w:widowControl w:val="0"/>
              <w:kinsoku/>
              <w:wordWrap w:val="0"/>
              <w:topLinePunct w:val="0"/>
              <w:autoSpaceDE/>
              <w:autoSpaceDN/>
              <w:bidi w:val="0"/>
              <w:adjustRightInd w:val="0"/>
              <w:jc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和义街道温馨家园</w:t>
            </w:r>
          </w:p>
        </w:tc>
      </w:tr>
      <w:tr w14:paraId="6738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2" w:hRule="atLeast"/>
          <w:jc w:val="center"/>
        </w:trPr>
        <w:tc>
          <w:tcPr>
            <w:tcW w:w="1668" w:type="dxa"/>
            <w:vAlign w:val="center"/>
          </w:tcPr>
          <w:p w14:paraId="09BB5ACF">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58C427FD">
            <w:pPr>
              <w:keepNext w:val="0"/>
              <w:keepLines w:val="0"/>
              <w:pageBreakBefore w:val="0"/>
              <w:widowControl w:val="0"/>
              <w:kinsoku/>
              <w:wordWrap w:val="0"/>
              <w:topLinePunct w:val="0"/>
              <w:autoSpaceDE/>
              <w:autoSpaceDN/>
              <w:bidi w:val="0"/>
              <w:adjustRightInd w:val="0"/>
              <w:snapToGrid w:val="0"/>
              <w:jc w:val="both"/>
              <w:rPr>
                <w:rFonts w:hint="default" w:ascii="Times New Roman" w:hAnsi="Times New Roman" w:eastAsia="仿宋_GB2312" w:cs="仿宋_GB2312"/>
                <w:b w:val="0"/>
                <w:bCs/>
                <w:spacing w:val="6"/>
                <w:sz w:val="24"/>
                <w:szCs w:val="24"/>
                <w:lang w:val="en-US" w:eastAsia="zh-CN"/>
              </w:rPr>
            </w:pPr>
            <w:r>
              <w:rPr>
                <w:rFonts w:hint="default" w:ascii="Times New Roman" w:hAnsi="Times New Roman" w:eastAsia="仿宋_GB2312" w:cs="仿宋_GB2312"/>
                <w:b w:val="0"/>
                <w:bCs/>
                <w:spacing w:val="6"/>
                <w:sz w:val="24"/>
                <w:szCs w:val="24"/>
                <w:lang w:val="en-US" w:eastAsia="zh-CN"/>
              </w:rPr>
              <w:t>和义街道温馨家园是和义街道所属的残疾人综合服务阵地，</w:t>
            </w:r>
            <w:r>
              <w:rPr>
                <w:rFonts w:hint="eastAsia" w:eastAsia="仿宋_GB2312" w:cs="仿宋_GB2312"/>
                <w:b w:val="0"/>
                <w:bCs/>
                <w:spacing w:val="6"/>
                <w:sz w:val="24"/>
                <w:szCs w:val="24"/>
                <w:lang w:val="en-US" w:eastAsia="zh-CN"/>
              </w:rPr>
              <w:t>是丰台区首家北京市五星级温馨家园。该温馨家园</w:t>
            </w:r>
            <w:r>
              <w:rPr>
                <w:rFonts w:hint="default" w:ascii="Times New Roman" w:hAnsi="Times New Roman" w:eastAsia="仿宋_GB2312" w:cs="仿宋_GB2312"/>
                <w:b w:val="0"/>
                <w:bCs/>
                <w:spacing w:val="6"/>
                <w:sz w:val="24"/>
                <w:szCs w:val="24"/>
                <w:lang w:val="en-US" w:eastAsia="zh-CN"/>
              </w:rPr>
              <w:t>于2010年9月正式建成并投入使用</w:t>
            </w:r>
            <w:r>
              <w:rPr>
                <w:rFonts w:hint="eastAsia" w:ascii="Times New Roman" w:hAnsi="Times New Roman" w:eastAsia="仿宋_GB2312" w:cs="仿宋_GB2312"/>
                <w:b w:val="0"/>
                <w:bCs/>
                <w:spacing w:val="6"/>
                <w:sz w:val="24"/>
                <w:szCs w:val="24"/>
                <w:lang w:val="en-US" w:eastAsia="zh-CN"/>
              </w:rPr>
              <w:t>，</w:t>
            </w:r>
            <w:r>
              <w:rPr>
                <w:rFonts w:hint="default" w:ascii="Times New Roman" w:hAnsi="Times New Roman" w:eastAsia="仿宋_GB2312" w:cs="仿宋_GB2312"/>
                <w:b w:val="0"/>
                <w:bCs/>
                <w:spacing w:val="6"/>
                <w:sz w:val="24"/>
                <w:szCs w:val="24"/>
                <w:lang w:val="en-US" w:eastAsia="zh-CN"/>
              </w:rPr>
              <w:t>占地900平方米，构建了完善的“室内+室外”一体化服务空间：室内设有</w:t>
            </w:r>
            <w:r>
              <w:rPr>
                <w:rFonts w:hint="eastAsia" w:eastAsia="仿宋_GB2312" w:cs="仿宋_GB2312"/>
                <w:b w:val="0"/>
                <w:bCs/>
                <w:spacing w:val="6"/>
                <w:sz w:val="24"/>
                <w:szCs w:val="24"/>
                <w:lang w:val="en-US" w:eastAsia="zh-CN"/>
              </w:rPr>
              <w:t>残联办公室、</w:t>
            </w:r>
            <w:r>
              <w:rPr>
                <w:rFonts w:hint="default" w:ascii="Times New Roman" w:hAnsi="Times New Roman" w:eastAsia="仿宋_GB2312" w:cs="仿宋_GB2312"/>
                <w:b w:val="0"/>
                <w:bCs/>
                <w:spacing w:val="6"/>
                <w:sz w:val="24"/>
                <w:szCs w:val="24"/>
                <w:lang w:val="en-US" w:eastAsia="zh-CN"/>
              </w:rPr>
              <w:t>残疾人党员活动室、职业劳动康复站、</w:t>
            </w:r>
            <w:r>
              <w:rPr>
                <w:rFonts w:hint="eastAsia" w:eastAsia="仿宋_GB2312" w:cs="仿宋_GB2312"/>
                <w:b w:val="0"/>
                <w:bCs/>
                <w:spacing w:val="6"/>
                <w:sz w:val="24"/>
                <w:szCs w:val="24"/>
                <w:lang w:val="en-US" w:eastAsia="zh-CN"/>
              </w:rPr>
              <w:t>辅助器具展示借用室、</w:t>
            </w:r>
            <w:r>
              <w:rPr>
                <w:rFonts w:hint="default" w:ascii="Times New Roman" w:hAnsi="Times New Roman" w:eastAsia="仿宋_GB2312" w:cs="仿宋_GB2312"/>
                <w:b w:val="0"/>
                <w:bCs/>
                <w:spacing w:val="6"/>
                <w:sz w:val="24"/>
                <w:szCs w:val="24"/>
                <w:lang w:val="en-US" w:eastAsia="zh-CN"/>
              </w:rPr>
              <w:t>日间照料室、法律维权室</w:t>
            </w:r>
            <w:r>
              <w:rPr>
                <w:rFonts w:hint="eastAsia" w:ascii="Times New Roman" w:hAnsi="Times New Roman" w:eastAsia="仿宋_GB2312" w:cs="仿宋_GB2312"/>
                <w:b w:val="0"/>
                <w:bCs/>
                <w:spacing w:val="6"/>
                <w:sz w:val="24"/>
                <w:szCs w:val="24"/>
                <w:lang w:val="en-US" w:eastAsia="zh-CN"/>
              </w:rPr>
              <w:t>、</w:t>
            </w:r>
            <w:r>
              <w:rPr>
                <w:rFonts w:hint="default" w:ascii="Times New Roman" w:hAnsi="Times New Roman" w:eastAsia="仿宋_GB2312" w:cs="仿宋_GB2312"/>
                <w:b w:val="0"/>
                <w:bCs/>
                <w:spacing w:val="6"/>
                <w:sz w:val="24"/>
                <w:szCs w:val="24"/>
                <w:lang w:val="en-US" w:eastAsia="zh-CN"/>
              </w:rPr>
              <w:t>心理咨询室</w:t>
            </w:r>
            <w:r>
              <w:rPr>
                <w:rFonts w:hint="eastAsia" w:eastAsia="仿宋_GB2312" w:cs="仿宋_GB2312"/>
                <w:b w:val="0"/>
                <w:bCs/>
                <w:spacing w:val="6"/>
                <w:sz w:val="24"/>
                <w:szCs w:val="24"/>
                <w:lang w:val="en-US" w:eastAsia="zh-CN"/>
              </w:rPr>
              <w:t>、图书室</w:t>
            </w:r>
            <w:r>
              <w:rPr>
                <w:rFonts w:hint="default" w:ascii="Times New Roman" w:hAnsi="Times New Roman" w:eastAsia="仿宋_GB2312" w:cs="仿宋_GB2312"/>
                <w:b w:val="0"/>
                <w:bCs/>
                <w:spacing w:val="6"/>
                <w:sz w:val="24"/>
                <w:szCs w:val="24"/>
                <w:lang w:val="en-US" w:eastAsia="zh-CN"/>
              </w:rPr>
              <w:t>等多功能服务区；室外配套专用健身器材与康复器械训练场地。</w:t>
            </w:r>
            <w:r>
              <w:rPr>
                <w:rFonts w:hint="eastAsia" w:ascii="Times New Roman" w:hAnsi="Times New Roman" w:eastAsia="仿宋_GB2312" w:cs="仿宋_GB2312"/>
                <w:b w:val="0"/>
                <w:bCs/>
                <w:spacing w:val="6"/>
                <w:sz w:val="24"/>
                <w:szCs w:val="24"/>
                <w:lang w:val="en-US" w:eastAsia="zh-CN"/>
              </w:rPr>
              <w:t>同时配置专业化人员服务团队</w:t>
            </w:r>
            <w:r>
              <w:rPr>
                <w:rFonts w:hint="default" w:ascii="Times New Roman" w:hAnsi="Times New Roman" w:eastAsia="仿宋_GB2312" w:cs="仿宋_GB2312"/>
                <w:b w:val="0"/>
                <w:bCs/>
                <w:spacing w:val="6"/>
                <w:sz w:val="24"/>
                <w:szCs w:val="24"/>
                <w:lang w:val="en-US" w:eastAsia="zh-CN"/>
              </w:rPr>
              <w:t>，包括理事长、负责人、园长各1名，残疾人专职委员2名，职康教师2名，各社区</w:t>
            </w:r>
            <w:r>
              <w:rPr>
                <w:rFonts w:hint="eastAsia" w:ascii="Times New Roman" w:hAnsi="Times New Roman" w:eastAsia="仿宋_GB2312" w:cs="仿宋_GB2312"/>
                <w:b w:val="0"/>
                <w:bCs/>
                <w:spacing w:val="6"/>
                <w:sz w:val="24"/>
                <w:szCs w:val="24"/>
                <w:lang w:val="en-US" w:eastAsia="zh-CN"/>
              </w:rPr>
              <w:t>配置残联</w:t>
            </w:r>
            <w:r>
              <w:rPr>
                <w:rFonts w:hint="default" w:ascii="Times New Roman" w:hAnsi="Times New Roman" w:eastAsia="仿宋_GB2312" w:cs="仿宋_GB2312"/>
                <w:b w:val="0"/>
                <w:bCs/>
                <w:spacing w:val="6"/>
                <w:sz w:val="24"/>
                <w:szCs w:val="24"/>
                <w:lang w:val="en-US" w:eastAsia="zh-CN"/>
              </w:rPr>
              <w:t>专职工作人员，形成了覆盖“街道</w:t>
            </w:r>
            <w:r>
              <w:rPr>
                <w:rFonts w:hint="eastAsia" w:ascii="Times New Roman" w:hAnsi="Times New Roman" w:eastAsia="仿宋_GB2312" w:cs="仿宋_GB2312"/>
                <w:b w:val="0"/>
                <w:bCs/>
                <w:spacing w:val="6"/>
                <w:sz w:val="24"/>
                <w:szCs w:val="24"/>
                <w:lang w:val="en-US" w:eastAsia="zh-CN"/>
              </w:rPr>
              <w:t>-</w:t>
            </w:r>
            <w:r>
              <w:rPr>
                <w:rFonts w:hint="default" w:ascii="Times New Roman" w:hAnsi="Times New Roman" w:eastAsia="仿宋_GB2312" w:cs="仿宋_GB2312"/>
                <w:b w:val="0"/>
                <w:bCs/>
                <w:spacing w:val="6"/>
                <w:sz w:val="24"/>
                <w:szCs w:val="24"/>
                <w:lang w:val="en-US" w:eastAsia="zh-CN"/>
              </w:rPr>
              <w:t>社区”的两级服务网络。</w:t>
            </w:r>
            <w:r>
              <w:rPr>
                <w:rFonts w:hint="eastAsia" w:ascii="Times New Roman" w:hAnsi="Times New Roman" w:eastAsia="仿宋_GB2312" w:cs="仿宋_GB2312"/>
                <w:b w:val="0"/>
                <w:bCs/>
                <w:spacing w:val="6"/>
                <w:sz w:val="24"/>
                <w:szCs w:val="24"/>
                <w:lang w:val="en-US" w:eastAsia="zh-CN"/>
              </w:rPr>
              <w:t>其</w:t>
            </w:r>
            <w:r>
              <w:rPr>
                <w:rFonts w:hint="default" w:ascii="Times New Roman" w:hAnsi="Times New Roman" w:eastAsia="仿宋_GB2312" w:cs="仿宋_GB2312"/>
                <w:b w:val="0"/>
                <w:bCs/>
                <w:spacing w:val="6"/>
                <w:sz w:val="24"/>
                <w:szCs w:val="24"/>
                <w:lang w:val="en-US" w:eastAsia="zh-CN"/>
              </w:rPr>
              <w:t>主要服务辖区内</w:t>
            </w:r>
            <w:r>
              <w:rPr>
                <w:rFonts w:hint="eastAsia" w:ascii="Times New Roman" w:hAnsi="Times New Roman" w:eastAsia="仿宋_GB2312" w:cs="仿宋_GB2312"/>
                <w:b w:val="0"/>
                <w:bCs/>
                <w:spacing w:val="6"/>
                <w:sz w:val="24"/>
                <w:szCs w:val="24"/>
                <w:lang w:val="en-US" w:eastAsia="zh-CN"/>
              </w:rPr>
              <w:t>现有</w:t>
            </w:r>
            <w:r>
              <w:rPr>
                <w:rFonts w:hint="default" w:ascii="Times New Roman" w:hAnsi="Times New Roman" w:eastAsia="仿宋_GB2312" w:cs="仿宋_GB2312"/>
                <w:b w:val="0"/>
                <w:bCs/>
                <w:spacing w:val="6"/>
                <w:sz w:val="24"/>
                <w:szCs w:val="24"/>
                <w:lang w:val="en-US" w:eastAsia="zh-CN"/>
              </w:rPr>
              <w:t>1878名持证残疾人，其中肢体残疾1192人（占63.46%），视力残疾271人（占14.43%），精神残疾150人（占7.99%），智力残疾113人（占6.02%），听力残疾人79人、言语残疾人4人、多重残疾69人</w:t>
            </w:r>
            <w:r>
              <w:rPr>
                <w:rFonts w:hint="eastAsia" w:ascii="Times New Roman" w:hAnsi="Times New Roman" w:eastAsia="仿宋_GB2312" w:cs="仿宋_GB2312"/>
                <w:b w:val="0"/>
                <w:bCs/>
                <w:spacing w:val="6"/>
                <w:sz w:val="24"/>
                <w:szCs w:val="24"/>
                <w:lang w:val="en-US" w:eastAsia="zh-CN"/>
              </w:rPr>
              <w:t>（</w:t>
            </w:r>
            <w:r>
              <w:rPr>
                <w:rFonts w:hint="default" w:ascii="Times New Roman" w:hAnsi="Times New Roman" w:eastAsia="仿宋_GB2312" w:cs="仿宋_GB2312"/>
                <w:b w:val="0"/>
                <w:bCs/>
                <w:spacing w:val="6"/>
                <w:sz w:val="24"/>
                <w:szCs w:val="24"/>
                <w:lang w:val="en-US" w:eastAsia="zh-CN"/>
              </w:rPr>
              <w:t>听力、言语及多重占8.10%</w:t>
            </w:r>
            <w:r>
              <w:rPr>
                <w:rFonts w:hint="eastAsia" w:ascii="Times New Roman" w:hAnsi="Times New Roman" w:eastAsia="仿宋_GB2312" w:cs="仿宋_GB2312"/>
                <w:b w:val="0"/>
                <w:bCs/>
                <w:spacing w:val="6"/>
                <w:sz w:val="24"/>
                <w:szCs w:val="24"/>
                <w:lang w:val="en-US" w:eastAsia="zh-CN"/>
              </w:rPr>
              <w:t>）</w:t>
            </w:r>
            <w:r>
              <w:rPr>
                <w:rFonts w:hint="default" w:ascii="Times New Roman" w:hAnsi="Times New Roman" w:eastAsia="仿宋_GB2312" w:cs="仿宋_GB2312"/>
                <w:b w:val="0"/>
                <w:bCs/>
                <w:spacing w:val="6"/>
                <w:sz w:val="24"/>
                <w:szCs w:val="24"/>
                <w:lang w:val="en-US" w:eastAsia="zh-CN"/>
              </w:rPr>
              <w:t>。</w:t>
            </w:r>
          </w:p>
        </w:tc>
      </w:tr>
      <w:tr w14:paraId="20C1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48050D0E">
            <w:pPr>
              <w:keepNext w:val="0"/>
              <w:keepLines w:val="0"/>
              <w:pageBreakBefore w:val="0"/>
              <w:widowControl w:val="0"/>
              <w:kinsoku/>
              <w:wordWrap w:val="0"/>
              <w:topLinePunct w:val="0"/>
              <w:autoSpaceDE/>
              <w:autoSpaceDN/>
              <w:bidi w:val="0"/>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0F5DCB8A">
            <w:pPr>
              <w:keepNext w:val="0"/>
              <w:keepLines w:val="0"/>
              <w:pageBreakBefore w:val="0"/>
              <w:widowControl w:val="0"/>
              <w:kinsoku/>
              <w:wordWrap w:val="0"/>
              <w:topLinePunct w:val="0"/>
              <w:autoSpaceDE/>
              <w:autoSpaceDN/>
              <w:bidi w:val="0"/>
              <w:adjustRightInd w:val="0"/>
              <w:snapToGrid w:val="0"/>
              <w:jc w:val="both"/>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杜晓舟、郑建飞</w:t>
            </w:r>
          </w:p>
        </w:tc>
        <w:tc>
          <w:tcPr>
            <w:tcW w:w="1073" w:type="dxa"/>
            <w:vAlign w:val="center"/>
          </w:tcPr>
          <w:p w14:paraId="2A82E197">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761E8785">
            <w:pPr>
              <w:keepNext w:val="0"/>
              <w:keepLines w:val="0"/>
              <w:pageBreakBefore w:val="0"/>
              <w:widowControl w:val="0"/>
              <w:kinsoku/>
              <w:wordWrap w:val="0"/>
              <w:topLinePunct w:val="0"/>
              <w:autoSpaceDE/>
              <w:autoSpaceDN/>
              <w:bidi w:val="0"/>
              <w:adjustRightInd w:val="0"/>
              <w:snapToGrid w:val="0"/>
              <w:jc w:val="both"/>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和义街道民生办科长、科员</w:t>
            </w:r>
          </w:p>
        </w:tc>
      </w:tr>
      <w:tr w14:paraId="1381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6839B00A">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4E6A9AC5">
            <w:pPr>
              <w:keepNext w:val="0"/>
              <w:keepLines w:val="0"/>
              <w:pageBreakBefore w:val="0"/>
              <w:widowControl w:val="0"/>
              <w:kinsoku/>
              <w:wordWrap w:val="0"/>
              <w:topLinePunct w:val="0"/>
              <w:autoSpaceDE/>
              <w:autoSpaceDN/>
              <w:bidi w:val="0"/>
              <w:adjustRightInd w:val="0"/>
              <w:snapToGrid w:val="0"/>
              <w:jc w:val="both"/>
              <w:rPr>
                <w:rFonts w:hint="default" w:ascii="仿宋_GB2312" w:hAnsi="仿宋_GB2312" w:eastAsia="仿宋_GB2312" w:cs="仿宋_GB2312"/>
                <w:bCs/>
                <w:color w:val="auto"/>
                <w:spacing w:val="6"/>
                <w:szCs w:val="28"/>
                <w:lang w:val="en-US" w:eastAsia="zh-CN"/>
              </w:rPr>
            </w:pPr>
            <w:r>
              <w:rPr>
                <w:rFonts w:hint="eastAsia" w:eastAsia="方正仿宋简体" w:cs="Times New Roman"/>
                <w:color w:val="auto"/>
                <w:lang w:val="en-US" w:eastAsia="zh-CN"/>
              </w:rPr>
              <w:t>67904048、67904042</w:t>
            </w:r>
          </w:p>
        </w:tc>
        <w:tc>
          <w:tcPr>
            <w:tcW w:w="1073" w:type="dxa"/>
            <w:vAlign w:val="center"/>
          </w:tcPr>
          <w:p w14:paraId="10D5CFE5">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11925DA8">
            <w:pPr>
              <w:keepNext w:val="0"/>
              <w:keepLines w:val="0"/>
              <w:pageBreakBefore w:val="0"/>
              <w:widowControl w:val="0"/>
              <w:kinsoku/>
              <w:wordWrap w:val="0"/>
              <w:topLinePunct w:val="0"/>
              <w:autoSpaceDE/>
              <w:autoSpaceDN/>
              <w:bidi w:val="0"/>
              <w:adjustRightInd w:val="0"/>
              <w:jc w:val="center"/>
              <w:rPr>
                <w:rFonts w:hint="default" w:ascii="Times New Roman" w:hAnsi="Times New Roman" w:eastAsia="方正仿宋简体" w:cs="Times New Roman"/>
                <w:color w:val="auto"/>
                <w:lang w:val="en-US" w:eastAsia="zh-CN"/>
              </w:rPr>
            </w:pPr>
            <w:r>
              <w:rPr>
                <w:rFonts w:hint="eastAsia" w:eastAsia="方正仿宋简体" w:cs="Times New Roman"/>
                <w:color w:val="auto"/>
                <w:lang w:val="en-US" w:eastAsia="zh-CN"/>
              </w:rPr>
              <w:t>dxz446379333 F--0000008</w:t>
            </w:r>
          </w:p>
        </w:tc>
      </w:tr>
    </w:tbl>
    <w:p w14:paraId="22953B1B">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26FDF1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F02CDBB">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E99C9ED">
            <w:pPr>
              <w:keepNext w:val="0"/>
              <w:keepLines w:val="0"/>
              <w:pageBreakBefore w:val="0"/>
              <w:widowControl w:val="0"/>
              <w:kinsoku/>
              <w:wordWrap w:val="0"/>
              <w:topLinePunct w:val="0"/>
              <w:autoSpaceDE/>
              <w:autoSpaceDN/>
              <w:bidi w:val="0"/>
              <w:adjustRightInd w:val="0"/>
              <w:snapToGrid w:val="0"/>
              <w:jc w:val="center"/>
              <w:rPr>
                <w:rFonts w:hint="default" w:ascii="仿宋_GB2312" w:hAnsi="仿宋_GB2312" w:eastAsia="仿宋_GB2312" w:cs="仿宋_GB2312"/>
                <w:b w:val="0"/>
                <w:color w:val="000000"/>
                <w:lang w:val="en-US"/>
              </w:rPr>
            </w:pPr>
            <w:r>
              <w:rPr>
                <w:rFonts w:hint="eastAsia" w:ascii="仿宋_GB2312" w:hAnsi="仿宋_GB2312" w:eastAsia="仿宋_GB2312" w:cs="仿宋_GB2312"/>
                <w:b w:val="0"/>
                <w:bCs/>
                <w:color w:val="000000"/>
                <w:spacing w:val="6"/>
                <w:szCs w:val="28"/>
                <w:lang w:eastAsia="zh-CN"/>
              </w:rPr>
              <w:t>社区残疾人就业品牌</w:t>
            </w:r>
            <w:r>
              <w:rPr>
                <w:rFonts w:hint="eastAsia" w:ascii="仿宋_GB2312" w:hAnsi="仿宋_GB2312" w:eastAsia="仿宋_GB2312" w:cs="仿宋_GB2312"/>
                <w:b w:val="0"/>
                <w:bCs/>
                <w:color w:val="000000"/>
                <w:spacing w:val="6"/>
                <w:szCs w:val="28"/>
                <w:lang w:val="en-US" w:eastAsia="zh-CN"/>
              </w:rPr>
              <w:t>优化路径</w:t>
            </w:r>
            <w:r>
              <w:rPr>
                <w:rFonts w:hint="eastAsia" w:ascii="仿宋_GB2312" w:hAnsi="仿宋_GB2312" w:eastAsia="仿宋_GB2312" w:cs="仿宋_GB2312"/>
                <w:b w:val="0"/>
                <w:bCs/>
                <w:color w:val="000000"/>
                <w:spacing w:val="6"/>
                <w:szCs w:val="28"/>
                <w:lang w:eastAsia="zh-CN"/>
              </w:rPr>
              <w:t>与可持续运营模式设计</w:t>
            </w:r>
          </w:p>
        </w:tc>
      </w:tr>
      <w:tr w14:paraId="2B2745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26CD8E4">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028AF61">
            <w:pPr>
              <w:keepNext w:val="0"/>
              <w:keepLines w:val="0"/>
              <w:pageBreakBefore w:val="0"/>
              <w:widowControl w:val="0"/>
              <w:kinsoku/>
              <w:wordWrap w:val="0"/>
              <w:topLinePunct w:val="0"/>
              <w:autoSpaceDE/>
              <w:autoSpaceDN/>
              <w:bidi w:val="0"/>
              <w:adjustRightInd w:val="0"/>
              <w:snapToGrid w:val="0"/>
              <w:jc w:val="center"/>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社会保障、社会服务</w:t>
            </w:r>
          </w:p>
        </w:tc>
      </w:tr>
      <w:tr w14:paraId="75CA6F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8D9F8E0">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DB543E6">
            <w:pPr>
              <w:keepNext w:val="0"/>
              <w:keepLines w:val="0"/>
              <w:pageBreakBefore w:val="0"/>
              <w:widowControl w:val="0"/>
              <w:kinsoku/>
              <w:wordWrap w:val="0"/>
              <w:topLinePunct w:val="0"/>
              <w:autoSpaceDE/>
              <w:autoSpaceDN/>
              <w:bidi w:val="0"/>
              <w:adjustRightInd w:val="0"/>
              <w:snapToGrid w:val="0"/>
              <w:ind w:firstLine="504" w:firstLineChars="200"/>
              <w:jc w:val="both"/>
              <w:rPr>
                <w:rFonts w:hint="default" w:ascii="仿宋_GB2312" w:hAnsi="仿宋_GB2312" w:eastAsia="仿宋_GB2312" w:cs="仿宋_GB2312"/>
                <w:b w:val="0"/>
                <w:bCs w:val="0"/>
                <w:color w:val="000000"/>
                <w:spacing w:val="6"/>
                <w:sz w:val="21"/>
                <w:szCs w:val="21"/>
                <w:lang w:val="en-US" w:eastAsia="zh-CN"/>
              </w:rPr>
            </w:pPr>
            <w:r>
              <w:rPr>
                <w:rFonts w:hint="eastAsia" w:ascii="仿宋_GB2312" w:hAnsi="仿宋_GB2312" w:eastAsia="仿宋_GB2312" w:cs="仿宋_GB2312"/>
                <w:b w:val="0"/>
                <w:bCs w:val="0"/>
                <w:color w:val="000000"/>
                <w:spacing w:val="6"/>
                <w:szCs w:val="28"/>
                <w:lang w:val="en-US" w:eastAsia="zh-CN"/>
              </w:rPr>
              <w:t>2025年6月，国务院</w:t>
            </w:r>
            <w:r>
              <w:rPr>
                <w:rFonts w:hint="eastAsia" w:ascii="仿宋_GB2312" w:hAnsi="仿宋_GB2312" w:eastAsia="仿宋_GB2312" w:cs="仿宋_GB2312"/>
                <w:b w:val="0"/>
                <w:bCs w:val="0"/>
                <w:color w:val="000000"/>
                <w:spacing w:val="6"/>
                <w:sz w:val="21"/>
                <w:szCs w:val="21"/>
                <w:lang w:val="en-US" w:eastAsia="zh-CN"/>
              </w:rPr>
              <w:t>印发《促进残疾人就业三年行动方案（2025—2027年）》提出要为残疾人提供更加精准的就业服务，创新打造残疾人就业品牌，重点扶持街道、社区残疾人就业发展。</w:t>
            </w:r>
          </w:p>
          <w:p w14:paraId="2705308F">
            <w:pPr>
              <w:keepNext w:val="0"/>
              <w:keepLines w:val="0"/>
              <w:pageBreakBefore w:val="0"/>
              <w:widowControl w:val="0"/>
              <w:kinsoku/>
              <w:wordWrap w:val="0"/>
              <w:topLinePunct w:val="0"/>
              <w:autoSpaceDE/>
              <w:autoSpaceDN/>
              <w:bidi w:val="0"/>
              <w:adjustRightInd w:val="0"/>
              <w:snapToGrid w:val="0"/>
              <w:ind w:firstLine="444" w:firstLineChars="200"/>
              <w:jc w:val="both"/>
              <w:rPr>
                <w:rFonts w:hint="eastAsia" w:ascii="仿宋_GB2312" w:hAnsi="仿宋_GB2312" w:eastAsia="仿宋_GB2312" w:cs="仿宋_GB2312"/>
                <w:b w:val="0"/>
                <w:bCs w:val="0"/>
                <w:color w:val="000000"/>
                <w:spacing w:val="6"/>
                <w:sz w:val="21"/>
                <w:szCs w:val="21"/>
                <w:lang w:val="en-US" w:eastAsia="zh-CN"/>
              </w:rPr>
            </w:pPr>
            <w:r>
              <w:rPr>
                <w:rFonts w:hint="eastAsia" w:ascii="仿宋_GB2312" w:hAnsi="仿宋_GB2312" w:eastAsia="仿宋_GB2312" w:cs="仿宋_GB2312"/>
                <w:b w:val="0"/>
                <w:bCs w:val="0"/>
                <w:color w:val="000000"/>
                <w:spacing w:val="6"/>
                <w:sz w:val="21"/>
                <w:szCs w:val="21"/>
                <w:lang w:val="en-US" w:eastAsia="zh-CN"/>
              </w:rPr>
              <w:t>和义街道温馨家园作为五星级示范站点，积极响应国家关于促进残疾人就业的政策导向，其残疾人制作的丝网花项目曾参与2022年北京冬残奥会作为手棒花束，具备良好技能基础，但目前面临产品设计传统、市场运营模式不可持续、缺乏品牌影响力等现实困境，制约其社会效益与经济效益的进一步扩大。</w:t>
            </w:r>
          </w:p>
          <w:p w14:paraId="51B75D84">
            <w:pPr>
              <w:keepNext w:val="0"/>
              <w:keepLines w:val="0"/>
              <w:pageBreakBefore w:val="0"/>
              <w:widowControl w:val="0"/>
              <w:kinsoku/>
              <w:wordWrap w:val="0"/>
              <w:topLinePunct w:val="0"/>
              <w:autoSpaceDE/>
              <w:autoSpaceDN/>
              <w:bidi w:val="0"/>
              <w:adjustRightInd w:val="0"/>
              <w:snapToGrid w:val="0"/>
              <w:ind w:firstLine="444" w:firstLineChars="200"/>
              <w:jc w:val="both"/>
              <w:rPr>
                <w:rFonts w:hint="eastAsia" w:ascii="仿宋_GB2312" w:hAnsi="仿宋_GB2312" w:eastAsia="仿宋_GB2312" w:cs="仿宋_GB2312"/>
                <w:b w:val="0"/>
                <w:bCs w:val="0"/>
                <w:color w:val="000000"/>
                <w:spacing w:val="6"/>
                <w:szCs w:val="28"/>
                <w:lang w:val="en-US" w:eastAsia="zh-CN"/>
              </w:rPr>
            </w:pPr>
            <w:r>
              <w:rPr>
                <w:rFonts w:hint="eastAsia" w:ascii="仿宋_GB2312" w:hAnsi="仿宋_GB2312" w:eastAsia="仿宋_GB2312" w:cs="仿宋_GB2312"/>
                <w:b w:val="0"/>
                <w:bCs w:val="0"/>
                <w:color w:val="000000"/>
                <w:spacing w:val="6"/>
                <w:sz w:val="21"/>
                <w:szCs w:val="21"/>
                <w:lang w:val="en-US" w:eastAsia="zh-CN"/>
              </w:rPr>
              <w:t>本选题聚焦当前残疾人就业服务中“有产品无品牌、有项目难持续”的核心痛点，以完善项目品牌化升级、优化运营路径为目标征集方案。以温馨家园现有丝网花项目为基础，完成品牌体系构建与产品创新，形成具有文化内涵和市场辨识度的视觉系统与产品系列；</w:t>
            </w:r>
            <w:r>
              <w:rPr>
                <w:rFonts w:hint="eastAsia" w:ascii="仿宋_GB2312" w:hAnsi="仿宋_GB2312" w:eastAsia="仿宋_GB2312" w:cs="仿宋_GB2312"/>
                <w:b w:val="0"/>
                <w:bCs w:val="0"/>
                <w:color w:val="000000"/>
                <w:spacing w:val="6"/>
                <w:szCs w:val="28"/>
                <w:lang w:val="en-US" w:eastAsia="zh-CN"/>
              </w:rPr>
              <w:t>充分利用多方协同优势，设计可落地、可持续的社会企业运营方案，涵盖市场定位、资源整合、管理模式及收益分配机制，探索形成可借鉴、可复制的城市社区助残就业新模式。</w:t>
            </w:r>
          </w:p>
        </w:tc>
      </w:tr>
      <w:tr w14:paraId="5FA9A7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D45E1DC">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302824A">
            <w:pPr>
              <w:keepNext w:val="0"/>
              <w:keepLines w:val="0"/>
              <w:pageBreakBefore w:val="0"/>
              <w:widowControl w:val="0"/>
              <w:kinsoku/>
              <w:wordWrap w:val="0"/>
              <w:topLinePunct w:val="0"/>
              <w:autoSpaceDE/>
              <w:autoSpaceDN/>
              <w:bidi w:val="0"/>
              <w:adjustRightInd w:val="0"/>
              <w:snapToGrid w:val="0"/>
              <w:ind w:firstLine="504" w:firstLineChars="200"/>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针对项目提交完整的项目策划案及配套的品牌视觉设计方案。</w:t>
            </w:r>
            <w:r>
              <w:rPr>
                <w:rFonts w:hint="eastAsia" w:ascii="Times New Roman" w:hAnsi="Times New Roman" w:eastAsia="仿宋_GB2312" w:cs="仿宋_GB2312"/>
                <w:b w:val="0"/>
                <w:bCs/>
                <w:spacing w:val="6"/>
                <w:sz w:val="24"/>
                <w:szCs w:val="24"/>
                <w:lang w:val="en-US"/>
              </w:rPr>
              <w:t>方案呈现方式为word、PDF皆可，同时须附调研问卷、场景照片等过程性文件。</w:t>
            </w:r>
          </w:p>
        </w:tc>
      </w:tr>
      <w:tr w14:paraId="18552F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1F9D7">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52CD91B8">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EF013">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1.策划完整性与专业性：品牌方案需定位清晰，视觉系统专业且具辨识度；运营模式需要素齐全，在组织架构、资源整合、财务模型等方面具备可行性。</w:t>
            </w:r>
          </w:p>
          <w:p w14:paraId="4EE86F97">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2.方案创新性与社会价值：考察方案在品牌塑造、市场开拓、社区协同等方面的创新性；同时评估其对促进残疾人就业增收、社会融合的预期社会效益与模式的可推广性。可有相应的宣传视频、直播推广方案等具体措施。</w:t>
            </w:r>
          </w:p>
          <w:p w14:paraId="26868046">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3.调研深度与可操作性：方案须建立在扎实的调研基础上，对目标街道、市场及潜在合作伙伴有深入分析。实施计划应步骤清晰，风险评估全面，包含明确的短期可执行目标。</w:t>
            </w:r>
          </w:p>
          <w:p w14:paraId="43946541">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4.成果呈现结构逻辑：成果结构严谨、数据准确、论述清晰，重点突出，展现核心价值与创新点。</w:t>
            </w:r>
          </w:p>
        </w:tc>
      </w:tr>
      <w:tr w14:paraId="7FA6CA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CA56B1E">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E19E1B4">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rPr>
            </w:pPr>
          </w:p>
        </w:tc>
      </w:tr>
    </w:tbl>
    <w:p w14:paraId="264F42E7">
      <w:pPr>
        <w:keepNext w:val="0"/>
        <w:keepLines w:val="0"/>
        <w:pageBreakBefore w:val="0"/>
        <w:widowControl w:val="0"/>
        <w:kinsoku/>
        <w:wordWrap w:val="0"/>
        <w:topLinePunct w:val="0"/>
        <w:autoSpaceDE/>
        <w:autoSpaceDN/>
        <w:bidi w:val="0"/>
        <w:rPr>
          <w:rFonts w:hint="eastAsia" w:ascii="方正黑体简体" w:eastAsia="方正黑体简体"/>
          <w:bCs/>
          <w:color w:val="auto"/>
          <w:spacing w:val="6"/>
          <w:sz w:val="32"/>
          <w:szCs w:val="32"/>
        </w:rPr>
      </w:pPr>
      <w:r>
        <w:rPr>
          <w:rFonts w:hint="eastAsia" w:ascii="方正黑体简体" w:eastAsia="方正黑体简体"/>
          <w:bCs/>
          <w:color w:val="auto"/>
          <w:spacing w:val="6"/>
          <w:sz w:val="32"/>
          <w:szCs w:val="32"/>
        </w:rPr>
        <w:br w:type="page"/>
      </w:r>
    </w:p>
    <w:p w14:paraId="179081BA">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7BD164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4153651">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42F6FBB">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Times New Roman" w:hAnsi="Times New Roman" w:eastAsia="仿宋_GB2312" w:cs="仿宋_GB2312"/>
                <w:b w:val="0"/>
                <w:bCs/>
                <w:spacing w:val="6"/>
                <w:sz w:val="24"/>
                <w:szCs w:val="24"/>
                <w:lang w:val="en-US"/>
              </w:rPr>
              <w:t>可为参赛团队提供指导帮助，如参观应用场景、实践调研、提供可供参考的研究材料等，在参赛期间提供指导机会。同时建议参赛团队前往和义街道</w:t>
            </w:r>
            <w:r>
              <w:rPr>
                <w:rFonts w:hint="eastAsia" w:ascii="Times New Roman" w:hAnsi="Times New Roman" w:eastAsia="仿宋_GB2312" w:cs="仿宋_GB2312"/>
                <w:b w:val="0"/>
                <w:bCs/>
                <w:spacing w:val="6"/>
                <w:sz w:val="24"/>
                <w:szCs w:val="24"/>
                <w:lang w:val="en-US" w:eastAsia="zh-CN"/>
              </w:rPr>
              <w:t>温馨家园</w:t>
            </w:r>
            <w:r>
              <w:rPr>
                <w:rFonts w:hint="eastAsia" w:ascii="Times New Roman" w:hAnsi="Times New Roman" w:eastAsia="仿宋_GB2312" w:cs="仿宋_GB2312"/>
                <w:b w:val="0"/>
                <w:bCs/>
                <w:spacing w:val="6"/>
                <w:sz w:val="24"/>
                <w:szCs w:val="24"/>
                <w:lang w:val="en-US"/>
              </w:rPr>
              <w:t>实地参观</w:t>
            </w:r>
            <w:r>
              <w:rPr>
                <w:rFonts w:hint="eastAsia" w:eastAsia="仿宋_GB2312" w:cs="仿宋_GB2312"/>
                <w:b w:val="0"/>
                <w:bCs/>
                <w:spacing w:val="6"/>
                <w:sz w:val="24"/>
                <w:szCs w:val="24"/>
                <w:lang w:val="en-US" w:eastAsia="zh-CN"/>
              </w:rPr>
              <w:t>。</w:t>
            </w:r>
          </w:p>
        </w:tc>
      </w:tr>
      <w:tr w14:paraId="30B92F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7806347">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1CA2ABE">
            <w:pPr>
              <w:keepNext w:val="0"/>
              <w:keepLines w:val="0"/>
              <w:pageBreakBefore w:val="0"/>
              <w:widowControl w:val="0"/>
              <w:kinsoku/>
              <w:wordWrap w:val="0"/>
              <w:topLinePunct w:val="0"/>
              <w:autoSpaceDE/>
              <w:autoSpaceDN/>
              <w:bidi w:val="0"/>
              <w:adjustRightInd w:val="0"/>
              <w:snapToGrid w:val="0"/>
              <w:spacing w:line="264" w:lineRule="auto"/>
              <w:ind w:firstLine="504" w:firstLineChars="200"/>
              <w:jc w:val="both"/>
              <w:rPr>
                <w:rFonts w:hint="eastAsia" w:ascii="Times New Roman" w:hAnsi="Times New Roman" w:eastAsia="仿宋_GB2312" w:cs="仿宋_GB2312"/>
                <w:b w:val="0"/>
                <w:bCs/>
                <w:spacing w:val="6"/>
                <w:sz w:val="24"/>
                <w:szCs w:val="24"/>
                <w:lang w:val="en-US" w:eastAsia="zh-CN"/>
              </w:rPr>
            </w:pPr>
            <w:r>
              <w:rPr>
                <w:rFonts w:hint="eastAsia" w:ascii="Times New Roman" w:hAnsi="Times New Roman" w:eastAsia="仿宋_GB2312" w:cs="仿宋_GB2312"/>
                <w:b w:val="0"/>
                <w:bCs/>
                <w:spacing w:val="6"/>
                <w:sz w:val="24"/>
                <w:szCs w:val="24"/>
                <w:lang w:val="en-US" w:eastAsia="zh-CN"/>
              </w:rPr>
              <w:t>一、奖项设置</w:t>
            </w:r>
          </w:p>
          <w:p w14:paraId="091D92E5">
            <w:pPr>
              <w:keepNext w:val="0"/>
              <w:keepLines w:val="0"/>
              <w:pageBreakBefore w:val="0"/>
              <w:widowControl w:val="0"/>
              <w:kinsoku/>
              <w:wordWrap w:val="0"/>
              <w:topLinePunct w:val="0"/>
              <w:autoSpaceDE/>
              <w:autoSpaceDN/>
              <w:bidi w:val="0"/>
              <w:adjustRightInd w:val="0"/>
              <w:snapToGrid w:val="0"/>
              <w:spacing w:line="264" w:lineRule="auto"/>
              <w:ind w:firstLine="504" w:firstLineChars="200"/>
              <w:jc w:val="both"/>
              <w:rPr>
                <w:rFonts w:hint="eastAsia" w:ascii="Times New Roman" w:hAnsi="Times New Roman" w:eastAsia="仿宋_GB2312" w:cs="仿宋_GB2312"/>
                <w:b w:val="0"/>
                <w:bCs/>
                <w:spacing w:val="6"/>
                <w:sz w:val="24"/>
                <w:szCs w:val="24"/>
                <w:lang w:val="en-US" w:eastAsia="zh-CN"/>
              </w:rPr>
            </w:pPr>
            <w:r>
              <w:rPr>
                <w:rFonts w:hint="eastAsia" w:ascii="Times New Roman" w:hAnsi="Times New Roman" w:eastAsia="仿宋_GB2312" w:cs="仿宋_GB2312"/>
                <w:b w:val="0"/>
                <w:bCs/>
                <w:spacing w:val="6"/>
                <w:sz w:val="24"/>
                <w:szCs w:val="24"/>
                <w:lang w:val="en-US" w:eastAsia="zh-CN"/>
              </w:rPr>
              <w:t>原则上设“擂主”团队1个，根据实际情况评出相应的特等奖、一等奖、二等奖、三等奖项目若干。</w:t>
            </w:r>
          </w:p>
          <w:p w14:paraId="2DABD2D7">
            <w:pPr>
              <w:keepNext w:val="0"/>
              <w:keepLines w:val="0"/>
              <w:pageBreakBefore w:val="0"/>
              <w:widowControl w:val="0"/>
              <w:kinsoku/>
              <w:wordWrap w:val="0"/>
              <w:topLinePunct w:val="0"/>
              <w:autoSpaceDE/>
              <w:autoSpaceDN/>
              <w:bidi w:val="0"/>
              <w:adjustRightInd w:val="0"/>
              <w:snapToGrid w:val="0"/>
              <w:spacing w:line="264" w:lineRule="auto"/>
              <w:ind w:firstLine="504" w:firstLineChars="200"/>
              <w:jc w:val="both"/>
              <w:rPr>
                <w:rFonts w:hint="eastAsia" w:ascii="Times New Roman" w:hAnsi="Times New Roman" w:eastAsia="仿宋_GB2312" w:cs="仿宋_GB2312"/>
                <w:b w:val="0"/>
                <w:bCs/>
                <w:spacing w:val="6"/>
                <w:sz w:val="24"/>
                <w:szCs w:val="24"/>
                <w:lang w:val="en-US" w:eastAsia="zh-CN"/>
              </w:rPr>
            </w:pPr>
            <w:r>
              <w:rPr>
                <w:rFonts w:hint="eastAsia" w:ascii="Times New Roman" w:hAnsi="Times New Roman" w:eastAsia="仿宋_GB2312" w:cs="仿宋_GB2312"/>
                <w:b w:val="0"/>
                <w:bCs/>
                <w:spacing w:val="6"/>
                <w:sz w:val="24"/>
                <w:szCs w:val="24"/>
                <w:lang w:val="en-US" w:eastAsia="zh-CN"/>
              </w:rPr>
              <w:t>二、激励措施</w:t>
            </w:r>
          </w:p>
          <w:p w14:paraId="6EE855C9">
            <w:pPr>
              <w:keepNext w:val="0"/>
              <w:keepLines w:val="0"/>
              <w:pageBreakBefore w:val="0"/>
              <w:widowControl w:val="0"/>
              <w:kinsoku/>
              <w:wordWrap w:val="0"/>
              <w:topLinePunct w:val="0"/>
              <w:autoSpaceDE/>
              <w:autoSpaceDN/>
              <w:bidi w:val="0"/>
              <w:adjustRightInd w:val="0"/>
              <w:snapToGrid w:val="0"/>
              <w:spacing w:line="264" w:lineRule="auto"/>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Times New Roman" w:hAnsi="Times New Roman" w:eastAsia="仿宋_GB2312" w:cs="仿宋_GB2312"/>
                <w:b w:val="0"/>
                <w:bCs/>
                <w:spacing w:val="6"/>
                <w:sz w:val="24"/>
                <w:szCs w:val="24"/>
                <w:lang w:val="en-US" w:eastAsia="zh-CN"/>
              </w:rPr>
              <w:t>在获奖团队中择优选择，为团队成员提供实习实践机会。</w:t>
            </w:r>
          </w:p>
        </w:tc>
      </w:tr>
    </w:tbl>
    <w:p w14:paraId="3B499DC8">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55484F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C5B9CF7">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EBFCE">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选题着眼于破解传统残疾人就业服务中的</w:t>
            </w:r>
            <w:r>
              <w:rPr>
                <w:rFonts w:hint="eastAsia" w:ascii="仿宋_GB2312" w:hAnsi="仿宋_GB2312" w:eastAsia="仿宋_GB2312" w:cs="仿宋_GB2312"/>
                <w:b w:val="0"/>
                <w:bCs/>
                <w:color w:val="000000"/>
                <w:spacing w:val="6"/>
                <w:szCs w:val="28"/>
                <w:u w:val="none"/>
                <w:lang w:val="en-US" w:eastAsia="zh-CN"/>
              </w:rPr>
              <w:t>市场</w:t>
            </w:r>
            <w:r>
              <w:rPr>
                <w:rFonts w:hint="eastAsia" w:ascii="仿宋_GB2312" w:hAnsi="仿宋_GB2312" w:eastAsia="仿宋_GB2312" w:cs="仿宋_GB2312"/>
                <w:b w:val="0"/>
                <w:bCs/>
                <w:color w:val="000000"/>
                <w:spacing w:val="6"/>
                <w:szCs w:val="28"/>
                <w:u w:val="none"/>
              </w:rPr>
              <w:t>困境，探索将市场化机制引入社会保障服务供给的有效路径。通过构建品牌化引领、市场化运营的残疾人</w:t>
            </w:r>
            <w:r>
              <w:rPr>
                <w:rFonts w:hint="eastAsia" w:ascii="仿宋_GB2312" w:hAnsi="仿宋_GB2312" w:eastAsia="仿宋_GB2312" w:cs="仿宋_GB2312"/>
                <w:b w:val="0"/>
                <w:bCs/>
                <w:color w:val="000000"/>
                <w:spacing w:val="6"/>
                <w:szCs w:val="28"/>
                <w:u w:val="none"/>
                <w:lang w:val="en-US" w:eastAsia="zh-CN"/>
              </w:rPr>
              <w:t>社区</w:t>
            </w:r>
            <w:r>
              <w:rPr>
                <w:rFonts w:hint="eastAsia" w:ascii="仿宋_GB2312" w:hAnsi="仿宋_GB2312" w:eastAsia="仿宋_GB2312" w:cs="仿宋_GB2312"/>
                <w:b w:val="0"/>
                <w:bCs/>
                <w:color w:val="000000"/>
                <w:spacing w:val="6"/>
                <w:szCs w:val="28"/>
                <w:u w:val="none"/>
              </w:rPr>
              <w:t>就业支持模式，为完善基层残疾人就业服务体系、推动社会救助从生存</w:t>
            </w:r>
            <w:r>
              <w:rPr>
                <w:rFonts w:hint="eastAsia" w:ascii="仿宋_GB2312" w:hAnsi="仿宋_GB2312" w:eastAsia="仿宋_GB2312" w:cs="仿宋_GB2312"/>
                <w:b w:val="0"/>
                <w:bCs/>
                <w:color w:val="000000"/>
                <w:spacing w:val="6"/>
                <w:szCs w:val="28"/>
                <w:u w:val="none"/>
                <w:lang w:val="en-US" w:eastAsia="zh-CN"/>
              </w:rPr>
              <w:t>保障</w:t>
            </w:r>
            <w:r>
              <w:rPr>
                <w:rFonts w:hint="eastAsia" w:ascii="仿宋_GB2312" w:hAnsi="仿宋_GB2312" w:eastAsia="仿宋_GB2312" w:cs="仿宋_GB2312"/>
                <w:b w:val="0"/>
                <w:bCs/>
                <w:color w:val="000000"/>
                <w:spacing w:val="6"/>
                <w:szCs w:val="28"/>
                <w:u w:val="none"/>
              </w:rPr>
              <w:t>向发展赋能转型提供切实可行的资源链接机制与商业方案。</w:t>
            </w:r>
          </w:p>
        </w:tc>
      </w:tr>
      <w:tr w14:paraId="6FF822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6F4BB5">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507CD">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项目</w:t>
            </w:r>
            <w:r>
              <w:rPr>
                <w:rFonts w:hint="eastAsia" w:ascii="仿宋_GB2312" w:hAnsi="仿宋_GB2312" w:eastAsia="仿宋_GB2312" w:cs="仿宋_GB2312"/>
                <w:b w:val="0"/>
                <w:bCs/>
                <w:color w:val="000000"/>
                <w:spacing w:val="6"/>
                <w:szCs w:val="28"/>
                <w:u w:val="none"/>
              </w:rPr>
              <w:t>成果将助力残疾人通过高质量就业获得稳定收入，实质性地减轻家庭与社会保障负担，有效减轻其家庭照护压力与社会保障的长期支付负担，实现社会效益与经济效益的统一。</w:t>
            </w:r>
            <w:r>
              <w:rPr>
                <w:rFonts w:hint="eastAsia" w:ascii="仿宋_GB2312" w:hAnsi="仿宋_GB2312" w:eastAsia="仿宋_GB2312" w:cs="仿宋_GB2312"/>
                <w:b w:val="0"/>
                <w:bCs/>
                <w:color w:val="000000"/>
                <w:spacing w:val="6"/>
                <w:szCs w:val="28"/>
                <w:u w:val="none"/>
                <w:lang w:val="en-US" w:eastAsia="zh-CN"/>
              </w:rPr>
              <w:t>同时，</w:t>
            </w:r>
            <w:r>
              <w:rPr>
                <w:rFonts w:hint="eastAsia" w:ascii="仿宋_GB2312" w:hAnsi="仿宋_GB2312" w:eastAsia="仿宋_GB2312" w:cs="仿宋_GB2312"/>
                <w:b w:val="0"/>
                <w:bCs/>
                <w:color w:val="000000"/>
                <w:spacing w:val="6"/>
                <w:szCs w:val="28"/>
                <w:u w:val="none"/>
              </w:rPr>
              <w:t>健全</w:t>
            </w:r>
            <w:r>
              <w:rPr>
                <w:rFonts w:hint="eastAsia" w:ascii="仿宋_GB2312" w:hAnsi="仿宋_GB2312" w:eastAsia="仿宋_GB2312" w:cs="仿宋_GB2312"/>
                <w:b w:val="0"/>
                <w:bCs/>
                <w:color w:val="000000"/>
                <w:spacing w:val="6"/>
                <w:szCs w:val="28"/>
                <w:u w:val="none"/>
                <w:lang w:val="en-US" w:eastAsia="zh-CN"/>
              </w:rPr>
              <w:t>街道</w:t>
            </w:r>
            <w:r>
              <w:rPr>
                <w:rFonts w:hint="eastAsia" w:ascii="仿宋_GB2312" w:hAnsi="仿宋_GB2312" w:eastAsia="仿宋_GB2312" w:cs="仿宋_GB2312"/>
                <w:b w:val="0"/>
                <w:bCs/>
                <w:color w:val="000000"/>
                <w:spacing w:val="6"/>
                <w:szCs w:val="28"/>
                <w:u w:val="none"/>
              </w:rPr>
              <w:t>“政府主导、社会</w:t>
            </w:r>
            <w:r>
              <w:rPr>
                <w:rFonts w:hint="eastAsia" w:ascii="仿宋_GB2312" w:hAnsi="仿宋_GB2312" w:eastAsia="仿宋_GB2312" w:cs="仿宋_GB2312"/>
                <w:b w:val="0"/>
                <w:bCs/>
                <w:color w:val="000000"/>
                <w:spacing w:val="6"/>
                <w:szCs w:val="28"/>
                <w:u w:val="none"/>
                <w:lang w:val="en-US" w:eastAsia="zh-CN"/>
              </w:rPr>
              <w:t>参与</w:t>
            </w:r>
            <w:r>
              <w:rPr>
                <w:rFonts w:hint="eastAsia" w:ascii="仿宋_GB2312" w:hAnsi="仿宋_GB2312" w:eastAsia="仿宋_GB2312" w:cs="仿宋_GB2312"/>
                <w:b w:val="0"/>
                <w:bCs/>
                <w:color w:val="000000"/>
                <w:spacing w:val="6"/>
                <w:szCs w:val="28"/>
                <w:u w:val="none"/>
              </w:rPr>
              <w:t>、</w:t>
            </w:r>
            <w:r>
              <w:rPr>
                <w:rFonts w:hint="eastAsia" w:ascii="仿宋_GB2312" w:hAnsi="仿宋_GB2312" w:eastAsia="仿宋_GB2312" w:cs="仿宋_GB2312"/>
                <w:b w:val="0"/>
                <w:bCs/>
                <w:color w:val="000000"/>
                <w:spacing w:val="6"/>
                <w:szCs w:val="28"/>
                <w:u w:val="none"/>
                <w:lang w:val="en-US" w:eastAsia="zh-CN"/>
              </w:rPr>
              <w:t>多元协同</w:t>
            </w:r>
            <w:r>
              <w:rPr>
                <w:rFonts w:hint="eastAsia" w:ascii="仿宋_GB2312" w:hAnsi="仿宋_GB2312" w:eastAsia="仿宋_GB2312" w:cs="仿宋_GB2312"/>
                <w:b w:val="0"/>
                <w:bCs/>
                <w:color w:val="000000"/>
                <w:spacing w:val="6"/>
                <w:szCs w:val="28"/>
                <w:u w:val="none"/>
              </w:rPr>
              <w:t>”的残疾人事业发展格局，</w:t>
            </w:r>
            <w:r>
              <w:rPr>
                <w:rFonts w:hint="eastAsia" w:ascii="仿宋_GB2312" w:hAnsi="仿宋_GB2312" w:eastAsia="仿宋_GB2312" w:cs="仿宋_GB2312"/>
                <w:b w:val="0"/>
                <w:bCs/>
                <w:color w:val="000000"/>
                <w:spacing w:val="6"/>
                <w:szCs w:val="28"/>
                <w:u w:val="none"/>
                <w:lang w:val="en-US" w:eastAsia="zh-CN"/>
              </w:rPr>
              <w:t>提升助残工作服务质效，将党的关怀精准传递至每位残疾人，为基层残疾人事业的高质量发展提供一个可复制、可持续的实践范本。</w:t>
            </w:r>
          </w:p>
        </w:tc>
      </w:tr>
    </w:tbl>
    <w:p w14:paraId="45EB565C">
      <w:pPr>
        <w:keepNext w:val="0"/>
        <w:keepLines w:val="0"/>
        <w:pageBreakBefore w:val="0"/>
        <w:widowControl w:val="0"/>
        <w:kinsoku/>
        <w:wordWrap w:val="0"/>
        <w:topLinePunct w:val="0"/>
        <w:autoSpaceDE/>
        <w:autoSpaceDN/>
        <w:bidi w:val="0"/>
        <w:rPr>
          <w:rFonts w:hint="eastAsia" w:ascii="楷体_GB2312" w:hAnsi="楷体_GB2312" w:eastAsia="楷体_GB2312" w:cs="楷体_GB2312"/>
          <w:color w:val="auto"/>
        </w:rPr>
      </w:pPr>
      <w:r>
        <w:rPr>
          <w:rFonts w:hint="eastAsia" w:ascii="楷体_GB2312" w:hAnsi="楷体_GB2312" w:eastAsia="楷体_GB2312" w:cs="楷体_GB2312"/>
          <w:color w:val="auto"/>
        </w:rPr>
        <w:br w:type="page"/>
      </w:r>
    </w:p>
    <w:p w14:paraId="42FA4E6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3C0EA6DD">
      <w:pPr>
        <w:widowControl w:val="0"/>
        <w:tabs>
          <w:tab w:val="left" w:pos="8640"/>
        </w:tabs>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—13</w:t>
      </w:r>
    </w:p>
    <w:p w14:paraId="35AC5326">
      <w:pPr>
        <w:keepNext w:val="0"/>
        <w:keepLines w:val="0"/>
        <w:pageBreakBefore w:val="0"/>
        <w:widowControl w:val="0"/>
        <w:tabs>
          <w:tab w:val="left" w:pos="8640"/>
        </w:tabs>
        <w:kinsoku/>
        <w:wordWrap w:val="0"/>
        <w:overflowPunct/>
        <w:topLinePunct w:val="0"/>
        <w:autoSpaceDE/>
        <w:autoSpaceDN/>
        <w:bidi w:val="0"/>
        <w:adjustRightInd w:val="0"/>
        <w:snapToGrid w:val="0"/>
        <w:spacing w:line="240" w:lineRule="auto"/>
        <w:textAlignment w:val="auto"/>
        <w:rPr>
          <w:rFonts w:ascii="方正黑体简体" w:eastAsia="方正黑体简体"/>
          <w:bCs/>
          <w:color w:val="auto"/>
          <w:spacing w:val="6"/>
          <w:sz w:val="21"/>
          <w:szCs w:val="21"/>
        </w:rPr>
      </w:pPr>
    </w:p>
    <w:p w14:paraId="7A30CEA3">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360E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4AC5ACB8">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75745002">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北京市规划和自然资源委员会门头沟分局</w:t>
            </w:r>
          </w:p>
        </w:tc>
      </w:tr>
      <w:tr w14:paraId="66BE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37EAF2B">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7F36DD42">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各区政府及委办局</w:t>
            </w:r>
          </w:p>
        </w:tc>
      </w:tr>
      <w:tr w14:paraId="0724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5CF29AF7">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553D5B72">
            <w:pPr>
              <w:keepNext w:val="0"/>
              <w:keepLines w:val="0"/>
              <w:pageBreakBefore w:val="0"/>
              <w:widowControl w:val="0"/>
              <w:kinsoku/>
              <w:wordWrap w:val="0"/>
              <w:topLinePunct w:val="0"/>
              <w:autoSpaceDE/>
              <w:autoSpaceDN/>
              <w:bidi w:val="0"/>
              <w:adjustRightInd w:val="0"/>
              <w:jc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eastAsia="zh-CN"/>
              </w:rPr>
              <w:t>北京市门头沟区新桥大街</w:t>
            </w:r>
            <w:r>
              <w:rPr>
                <w:rFonts w:hint="eastAsia" w:ascii="仿宋_GB2312" w:hAnsi="仿宋_GB2312" w:eastAsia="仿宋_GB2312" w:cs="仿宋_GB2312"/>
                <w:color w:val="auto"/>
                <w:lang w:val="en-US" w:eastAsia="zh-CN"/>
              </w:rPr>
              <w:t>48号</w:t>
            </w:r>
          </w:p>
        </w:tc>
      </w:tr>
      <w:tr w14:paraId="37F8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1AD404F5">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7FA38B20">
            <w:pPr>
              <w:keepNext w:val="0"/>
              <w:keepLines w:val="0"/>
              <w:pageBreakBefore w:val="0"/>
              <w:widowControl w:val="0"/>
              <w:suppressLineNumbers w:val="0"/>
              <w:kinsoku/>
              <w:wordWrap w:val="0"/>
              <w:topLinePunct w:val="0"/>
              <w:autoSpaceDE/>
              <w:autoSpaceDN/>
              <w:bidi w:val="0"/>
              <w:jc w:val="left"/>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lang w:val="en-US" w:eastAsia="zh-CN"/>
              </w:rPr>
              <w:t>履行我区全民所有土地、矿产、森林、湿地、水等自然资源资产所有者职责和所有国土空间用途管制职责；贯彻落实北京城市总体规划，按规定组织编制、实施本区国土空间规划、分区规划、控制性详细规划以及各专项规划，组织编制镇（乡）域规划；负责我区国土空间规划用途管制、自然资源调查监测评价、自然资源资产有偿使用、耕地保护及基本农田保护管理、国土空间生态修复、自然资源和国土空间规划管理的督察等工作。</w:t>
            </w:r>
          </w:p>
        </w:tc>
      </w:tr>
      <w:tr w14:paraId="0DB86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4F1AC85C">
            <w:pPr>
              <w:keepNext w:val="0"/>
              <w:keepLines w:val="0"/>
              <w:pageBreakBefore w:val="0"/>
              <w:widowControl w:val="0"/>
              <w:kinsoku/>
              <w:wordWrap w:val="0"/>
              <w:topLinePunct w:val="0"/>
              <w:autoSpaceDE/>
              <w:autoSpaceDN/>
              <w:bidi w:val="0"/>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523DE336">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李鹏飞</w:t>
            </w:r>
          </w:p>
        </w:tc>
        <w:tc>
          <w:tcPr>
            <w:tcW w:w="1073" w:type="dxa"/>
            <w:vAlign w:val="center"/>
          </w:tcPr>
          <w:p w14:paraId="2F183D7A">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3C6E53B6">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lang w:eastAsia="zh-CN"/>
              </w:rPr>
            </w:pPr>
            <w:r>
              <w:rPr>
                <w:rFonts w:hint="eastAsia" w:ascii="仿宋_GB2312" w:hAnsi="仿宋_GB2312" w:eastAsia="仿宋_GB2312" w:cs="仿宋_GB2312"/>
                <w:bCs/>
                <w:color w:val="auto"/>
                <w:spacing w:val="6"/>
                <w:szCs w:val="28"/>
                <w:lang w:val="en-US" w:eastAsia="zh-CN"/>
              </w:rPr>
              <w:t>四级主任科员</w:t>
            </w:r>
          </w:p>
        </w:tc>
      </w:tr>
      <w:tr w14:paraId="221A0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4EFD8D64">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6D4840B5">
            <w:pPr>
              <w:keepNext w:val="0"/>
              <w:keepLines w:val="0"/>
              <w:pageBreakBefore w:val="0"/>
              <w:widowControl w:val="0"/>
              <w:kinsoku/>
              <w:wordWrap w:val="0"/>
              <w:topLinePunct w:val="0"/>
              <w:autoSpaceDE/>
              <w:autoSpaceDN/>
              <w:bidi w:val="0"/>
              <w:adjustRightInd w:val="0"/>
              <w:snapToGrid w:val="0"/>
              <w:jc w:val="center"/>
              <w:rPr>
                <w:rFonts w:hint="default" w:ascii="仿宋_GB2312" w:hAnsi="仿宋_GB2312" w:eastAsia="仿宋_GB2312" w:cs="仿宋_GB2312"/>
                <w:bCs/>
                <w:color w:val="auto"/>
                <w:spacing w:val="6"/>
                <w:szCs w:val="28"/>
                <w:lang w:val="en-US" w:eastAsia="zh-CN"/>
              </w:rPr>
            </w:pPr>
            <w:r>
              <w:rPr>
                <w:rFonts w:hint="default" w:ascii="Times New Roman" w:hAnsi="Times New Roman" w:eastAsia="仿宋_GB2312" w:cs="Times New Roman"/>
                <w:bCs/>
                <w:color w:val="auto"/>
                <w:spacing w:val="6"/>
                <w:szCs w:val="28"/>
                <w:lang w:val="en-US" w:eastAsia="zh-CN"/>
              </w:rPr>
              <w:t>010-69829671</w:t>
            </w:r>
          </w:p>
        </w:tc>
        <w:tc>
          <w:tcPr>
            <w:tcW w:w="1073" w:type="dxa"/>
            <w:vAlign w:val="center"/>
          </w:tcPr>
          <w:p w14:paraId="4AD0CEA5">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7C4ABD03">
            <w:pPr>
              <w:keepNext w:val="0"/>
              <w:keepLines w:val="0"/>
              <w:pageBreakBefore w:val="0"/>
              <w:widowControl w:val="0"/>
              <w:kinsoku/>
              <w:wordWrap w:val="0"/>
              <w:topLinePunct w:val="0"/>
              <w:autoSpaceDE/>
              <w:autoSpaceDN/>
              <w:bidi w:val="0"/>
              <w:adjustRightInd w:val="0"/>
              <w:jc w:val="center"/>
              <w:rPr>
                <w:rFonts w:hint="default" w:ascii="Times New Roman" w:hAnsi="Times New Roman" w:eastAsia="方正仿宋简体" w:cs="Times New Roman"/>
                <w:color w:val="auto"/>
                <w:lang w:val="en-US" w:eastAsia="zh-CN"/>
              </w:rPr>
            </w:pPr>
            <w:r>
              <w:rPr>
                <w:rFonts w:hint="eastAsia" w:ascii="Times New Roman" w:hAnsi="Times New Roman" w:eastAsia="仿宋_GB2312" w:cs="Times New Roman"/>
                <w:bCs/>
                <w:color w:val="auto"/>
                <w:spacing w:val="6"/>
                <w:szCs w:val="28"/>
                <w:lang w:val="en-US" w:eastAsia="zh-CN"/>
              </w:rPr>
              <w:t>13186668123</w:t>
            </w:r>
          </w:p>
        </w:tc>
      </w:tr>
    </w:tbl>
    <w:p w14:paraId="41B75634">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39A74B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2A98C56">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C6FD29D">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门头沟区三家店组团城市更新实施路径研究</w:t>
            </w:r>
          </w:p>
        </w:tc>
      </w:tr>
      <w:tr w14:paraId="7F7CF6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4764FB7">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FA94C20">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val="en-US" w:eastAsia="zh-CN"/>
              </w:rPr>
              <w:t>社会科学（城乡规划、城市更新）</w:t>
            </w:r>
          </w:p>
        </w:tc>
      </w:tr>
      <w:tr w14:paraId="68BA3E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C18EC79">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3D1BC2B">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val="0"/>
                <w:color w:val="000000"/>
                <w:spacing w:val="6"/>
                <w:szCs w:val="28"/>
                <w:lang w:val="en-US" w:eastAsia="zh-CN"/>
              </w:rPr>
            </w:pPr>
            <w:r>
              <w:rPr>
                <w:rFonts w:hint="eastAsia" w:ascii="仿宋_GB2312" w:hAnsi="仿宋_GB2312" w:eastAsia="仿宋_GB2312" w:cs="仿宋_GB2312"/>
                <w:b w:val="0"/>
                <w:bCs w:val="0"/>
                <w:color w:val="000000"/>
                <w:spacing w:val="6"/>
                <w:szCs w:val="28"/>
                <w:lang w:val="en-US" w:eastAsia="zh-CN"/>
              </w:rPr>
              <w:t>门头沟三家店组团是京西历史文化资源富集的城中村片区，包括现状三家店村、月季洲及琉璃渠村。当前三家店组团面临人居环境老旧、空间功能低效、地块间连通性差、文化资源活化不足等现实问题。本次选题聚焦该片区城中村改造，以“小规模、渐进式”更新为核心方向，旨在探索“历史保护+民生改善+产业激活”深度融合的城中村改造模式，形成可落地的规划方案与实施路径，为京西同类传统村落型城中村更新提供示范样本。</w:t>
            </w:r>
          </w:p>
        </w:tc>
      </w:tr>
      <w:tr w14:paraId="5755D9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0061C9F">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3B0CA3D">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rPr>
              <w:t>1.成果形式：提交完整的更新规划方案文本（含图纸）</w:t>
            </w:r>
            <w:r>
              <w:rPr>
                <w:rFonts w:hint="eastAsia" w:ascii="仿宋_GB2312" w:hAnsi="仿宋_GB2312" w:eastAsia="仿宋_GB2312" w:cs="仿宋_GB2312"/>
                <w:b w:val="0"/>
                <w:bCs/>
                <w:color w:val="000000"/>
                <w:spacing w:val="6"/>
                <w:szCs w:val="28"/>
                <w:lang w:val="en-US" w:eastAsia="zh-CN"/>
              </w:rPr>
              <w:t>+</w:t>
            </w:r>
            <w:r>
              <w:rPr>
                <w:rFonts w:hint="eastAsia" w:ascii="仿宋_GB2312" w:hAnsi="仿宋_GB2312" w:eastAsia="仿宋_GB2312" w:cs="仿宋_GB2312"/>
                <w:b w:val="0"/>
                <w:bCs/>
                <w:color w:val="000000"/>
                <w:spacing w:val="6"/>
                <w:szCs w:val="28"/>
              </w:rPr>
              <w:t>实施路径报告</w:t>
            </w:r>
            <w:r>
              <w:rPr>
                <w:rFonts w:hint="eastAsia" w:ascii="仿宋_GB2312" w:hAnsi="仿宋_GB2312" w:eastAsia="仿宋_GB2312" w:cs="仿宋_GB2312"/>
                <w:b w:val="0"/>
                <w:bCs/>
                <w:color w:val="000000"/>
                <w:spacing w:val="6"/>
                <w:szCs w:val="28"/>
                <w:lang w:eastAsia="zh-CN"/>
              </w:rPr>
              <w:t>（充分利用当前北京市城市更新政策）</w:t>
            </w:r>
            <w:r>
              <w:rPr>
                <w:rFonts w:hint="eastAsia" w:ascii="仿宋_GB2312" w:hAnsi="仿宋_GB2312" w:eastAsia="仿宋_GB2312" w:cs="仿宋_GB2312"/>
                <w:b w:val="0"/>
                <w:bCs/>
                <w:color w:val="000000"/>
                <w:spacing w:val="6"/>
                <w:szCs w:val="28"/>
              </w:rPr>
              <w:t>，文本字数不少于1.5万字，图纸不少于</w:t>
            </w:r>
            <w:r>
              <w:rPr>
                <w:rFonts w:hint="eastAsia" w:ascii="仿宋_GB2312" w:hAnsi="仿宋_GB2312" w:eastAsia="仿宋_GB2312" w:cs="仿宋_GB2312"/>
                <w:b w:val="0"/>
                <w:bCs/>
                <w:color w:val="000000"/>
                <w:spacing w:val="6"/>
                <w:szCs w:val="28"/>
                <w:lang w:val="en-US" w:eastAsia="zh-CN"/>
              </w:rPr>
              <w:t>15</w:t>
            </w:r>
            <w:r>
              <w:rPr>
                <w:rFonts w:hint="eastAsia" w:ascii="仿宋_GB2312" w:hAnsi="仿宋_GB2312" w:eastAsia="仿宋_GB2312" w:cs="仿宋_GB2312"/>
                <w:b w:val="0"/>
                <w:bCs/>
                <w:color w:val="000000"/>
                <w:spacing w:val="6"/>
                <w:szCs w:val="28"/>
              </w:rPr>
              <w:t>张。</w:t>
            </w:r>
            <w:r>
              <w:rPr>
                <w:rFonts w:hint="eastAsia" w:ascii="仿宋_GB2312" w:hAnsi="仿宋_GB2312" w:eastAsia="仿宋_GB2312" w:cs="仿宋_GB2312"/>
                <w:b w:val="0"/>
                <w:bCs/>
                <w:color w:val="000000"/>
                <w:spacing w:val="6"/>
                <w:szCs w:val="28"/>
                <w:lang w:eastAsia="zh-CN"/>
              </w:rPr>
              <w:t>其中图纸应包含更新后效果图以及更新前后细节对比。</w:t>
            </w:r>
          </w:p>
          <w:p w14:paraId="71883A4D">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2.内容要求：需包含现状</w:t>
            </w:r>
            <w:r>
              <w:rPr>
                <w:rFonts w:hint="eastAsia" w:ascii="仿宋_GB2312" w:hAnsi="仿宋_GB2312" w:eastAsia="仿宋_GB2312" w:cs="仿宋_GB2312"/>
                <w:b w:val="0"/>
                <w:bCs/>
                <w:color w:val="000000"/>
                <w:spacing w:val="6"/>
                <w:szCs w:val="28"/>
                <w:lang w:eastAsia="zh-CN"/>
              </w:rPr>
              <w:t>分析</w:t>
            </w:r>
            <w:r>
              <w:rPr>
                <w:rFonts w:hint="eastAsia" w:ascii="仿宋_GB2312" w:hAnsi="仿宋_GB2312" w:eastAsia="仿宋_GB2312" w:cs="仿宋_GB2312"/>
                <w:b w:val="0"/>
                <w:bCs/>
                <w:color w:val="000000"/>
                <w:spacing w:val="6"/>
                <w:szCs w:val="28"/>
              </w:rPr>
              <w:t>、</w:t>
            </w:r>
            <w:r>
              <w:rPr>
                <w:rFonts w:hint="eastAsia" w:ascii="仿宋_GB2312" w:hAnsi="仿宋_GB2312" w:eastAsia="仿宋_GB2312" w:cs="仿宋_GB2312"/>
                <w:b w:val="0"/>
                <w:bCs/>
                <w:color w:val="000000"/>
                <w:spacing w:val="6"/>
                <w:szCs w:val="28"/>
                <w:lang w:eastAsia="zh-CN"/>
              </w:rPr>
              <w:t>存在问题、</w:t>
            </w:r>
            <w:r>
              <w:rPr>
                <w:rFonts w:hint="eastAsia" w:ascii="仿宋_GB2312" w:hAnsi="仿宋_GB2312" w:eastAsia="仿宋_GB2312" w:cs="仿宋_GB2312"/>
                <w:b w:val="0"/>
                <w:bCs/>
                <w:color w:val="000000"/>
                <w:spacing w:val="6"/>
                <w:szCs w:val="28"/>
              </w:rPr>
              <w:t>目标定位、空间规划、文化活化、产业导入、资金平衡、分期实施</w:t>
            </w:r>
            <w:r>
              <w:rPr>
                <w:rFonts w:hint="eastAsia" w:ascii="仿宋_GB2312" w:hAnsi="仿宋_GB2312" w:eastAsia="仿宋_GB2312" w:cs="仿宋_GB2312"/>
                <w:b w:val="0"/>
                <w:bCs/>
                <w:color w:val="000000"/>
                <w:spacing w:val="6"/>
                <w:szCs w:val="28"/>
                <w:lang w:eastAsia="zh-CN"/>
              </w:rPr>
              <w:t>、更新效果</w:t>
            </w:r>
            <w:r>
              <w:rPr>
                <w:rFonts w:hint="eastAsia" w:ascii="仿宋_GB2312" w:hAnsi="仿宋_GB2312" w:eastAsia="仿宋_GB2312" w:cs="仿宋_GB2312"/>
                <w:b w:val="0"/>
                <w:bCs/>
                <w:color w:val="000000"/>
                <w:spacing w:val="6"/>
                <w:szCs w:val="28"/>
              </w:rPr>
              <w:t>等核心模块。</w:t>
            </w:r>
          </w:p>
          <w:p w14:paraId="690EA355">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3.提交时间：需在专项赛官方指定截止日期前完成提交，逾期视为无效。</w:t>
            </w:r>
          </w:p>
          <w:p w14:paraId="2D755CE9">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rPr>
              <w:t>4.</w:t>
            </w:r>
            <w:r>
              <w:rPr>
                <w:rFonts w:hint="eastAsia" w:ascii="仿宋_GB2312" w:hAnsi="仿宋_GB2312" w:eastAsia="仿宋_GB2312" w:cs="仿宋_GB2312"/>
                <w:b w:val="0"/>
                <w:bCs/>
                <w:color w:val="000000"/>
                <w:spacing w:val="6"/>
                <w:szCs w:val="28"/>
                <w:lang w:eastAsia="zh-CN"/>
              </w:rPr>
              <w:t>评选</w:t>
            </w:r>
            <w:r>
              <w:rPr>
                <w:rFonts w:hint="eastAsia" w:ascii="仿宋_GB2312" w:hAnsi="仿宋_GB2312" w:eastAsia="仿宋_GB2312" w:cs="仿宋_GB2312"/>
                <w:b w:val="0"/>
                <w:bCs/>
                <w:color w:val="000000"/>
                <w:spacing w:val="6"/>
                <w:szCs w:val="28"/>
              </w:rPr>
              <w:t>标准：</w:t>
            </w:r>
            <w:r>
              <w:rPr>
                <w:rFonts w:hint="eastAsia" w:ascii="仿宋_GB2312" w:hAnsi="仿宋_GB2312" w:eastAsia="仿宋_GB2312" w:cs="仿宋_GB2312"/>
                <w:b w:val="0"/>
                <w:bCs/>
                <w:color w:val="000000"/>
                <w:spacing w:val="6"/>
                <w:szCs w:val="28"/>
                <w:lang w:eastAsia="zh-CN"/>
              </w:rPr>
              <w:t>根据项目</w:t>
            </w:r>
            <w:r>
              <w:rPr>
                <w:rFonts w:hint="eastAsia" w:ascii="仿宋_GB2312" w:hAnsi="仿宋_GB2312" w:eastAsia="仿宋_GB2312" w:cs="仿宋_GB2312"/>
                <w:b w:val="0"/>
                <w:bCs/>
                <w:color w:val="000000"/>
                <w:spacing w:val="6"/>
                <w:szCs w:val="28"/>
              </w:rPr>
              <w:t>科学性、创新性与落地性</w:t>
            </w:r>
            <w:r>
              <w:rPr>
                <w:rFonts w:hint="eastAsia" w:ascii="仿宋_GB2312" w:hAnsi="仿宋_GB2312" w:eastAsia="仿宋_GB2312" w:cs="仿宋_GB2312"/>
                <w:b w:val="0"/>
                <w:bCs/>
                <w:color w:val="000000"/>
                <w:spacing w:val="6"/>
                <w:szCs w:val="28"/>
                <w:lang w:eastAsia="zh-CN"/>
              </w:rPr>
              <w:t>、是否</w:t>
            </w:r>
            <w:r>
              <w:rPr>
                <w:rFonts w:hint="eastAsia" w:ascii="仿宋_GB2312" w:hAnsi="仿宋_GB2312" w:eastAsia="仿宋_GB2312" w:cs="仿宋_GB2312"/>
                <w:b w:val="0"/>
                <w:bCs/>
                <w:color w:val="000000"/>
                <w:spacing w:val="6"/>
                <w:szCs w:val="28"/>
              </w:rPr>
              <w:t>可有效解决实际问题</w:t>
            </w:r>
            <w:r>
              <w:rPr>
                <w:rFonts w:hint="eastAsia" w:ascii="仿宋_GB2312" w:hAnsi="仿宋_GB2312" w:eastAsia="仿宋_GB2312" w:cs="仿宋_GB2312"/>
                <w:b w:val="0"/>
                <w:bCs/>
                <w:color w:val="000000"/>
                <w:spacing w:val="6"/>
                <w:szCs w:val="28"/>
                <w:lang w:eastAsia="zh-CN"/>
              </w:rPr>
              <w:t>等标准综合评判作品优劣</w:t>
            </w:r>
            <w:r>
              <w:rPr>
                <w:rFonts w:hint="eastAsia" w:ascii="仿宋_GB2312" w:hAnsi="仿宋_GB2312" w:eastAsia="仿宋_GB2312" w:cs="仿宋_GB2312"/>
                <w:b w:val="0"/>
                <w:bCs/>
                <w:color w:val="000000"/>
                <w:spacing w:val="6"/>
                <w:szCs w:val="28"/>
              </w:rPr>
              <w:t>。</w:t>
            </w:r>
          </w:p>
        </w:tc>
      </w:tr>
      <w:tr w14:paraId="06A446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3BECF">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6B6F92F5">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D82A6">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val="en-US" w:eastAsia="zh-CN"/>
              </w:rPr>
              <w:t>1.</w:t>
            </w:r>
            <w:r>
              <w:rPr>
                <w:rFonts w:hint="eastAsia" w:ascii="仿宋_GB2312" w:hAnsi="仿宋_GB2312" w:eastAsia="仿宋_GB2312" w:cs="仿宋_GB2312"/>
                <w:b w:val="0"/>
                <w:bCs/>
                <w:color w:val="000000"/>
                <w:spacing w:val="6"/>
                <w:szCs w:val="28"/>
                <w:lang w:eastAsia="zh-CN"/>
              </w:rPr>
              <w:t>项目</w:t>
            </w:r>
            <w:r>
              <w:rPr>
                <w:rFonts w:hint="eastAsia" w:ascii="仿宋_GB2312" w:hAnsi="仿宋_GB2312" w:eastAsia="仿宋_GB2312" w:cs="仿宋_GB2312"/>
                <w:b w:val="0"/>
                <w:bCs/>
                <w:color w:val="000000"/>
                <w:spacing w:val="6"/>
                <w:szCs w:val="28"/>
              </w:rPr>
              <w:t>科学性</w:t>
            </w:r>
            <w:r>
              <w:rPr>
                <w:rFonts w:hint="eastAsia" w:ascii="仿宋_GB2312" w:hAnsi="仿宋_GB2312" w:eastAsia="仿宋_GB2312" w:cs="仿宋_GB2312"/>
                <w:b w:val="0"/>
                <w:bCs/>
                <w:color w:val="000000"/>
                <w:spacing w:val="6"/>
                <w:szCs w:val="28"/>
                <w:lang w:val="en-US" w:eastAsia="zh-CN"/>
              </w:rPr>
              <w:t>-</w:t>
            </w:r>
            <w:r>
              <w:rPr>
                <w:rFonts w:hint="eastAsia" w:ascii="仿宋_GB2312" w:hAnsi="仿宋_GB2312" w:eastAsia="仿宋_GB2312" w:cs="仿宋_GB2312"/>
                <w:b w:val="0"/>
                <w:bCs/>
                <w:color w:val="000000"/>
                <w:spacing w:val="6"/>
                <w:szCs w:val="28"/>
                <w:lang w:eastAsia="zh-CN"/>
              </w:rPr>
              <w:t>占比</w:t>
            </w:r>
            <w:r>
              <w:rPr>
                <w:rFonts w:hint="eastAsia" w:ascii="仿宋_GB2312" w:hAnsi="仿宋_GB2312" w:eastAsia="仿宋_GB2312" w:cs="仿宋_GB2312"/>
                <w:b w:val="0"/>
                <w:bCs/>
                <w:color w:val="000000"/>
                <w:spacing w:val="6"/>
                <w:szCs w:val="28"/>
                <w:lang w:val="en-US" w:eastAsia="zh-CN"/>
              </w:rPr>
              <w:t>15</w:t>
            </w:r>
            <w:r>
              <w:rPr>
                <w:rFonts w:hint="eastAsia" w:ascii="仿宋_GB2312" w:hAnsi="仿宋_GB2312" w:eastAsia="仿宋_GB2312" w:cs="仿宋_GB2312"/>
                <w:b w:val="0"/>
                <w:bCs/>
                <w:color w:val="000000"/>
                <w:spacing w:val="6"/>
                <w:szCs w:val="28"/>
              </w:rPr>
              <w:t>%</w:t>
            </w:r>
            <w:r>
              <w:rPr>
                <w:rFonts w:hint="eastAsia" w:ascii="仿宋_GB2312" w:hAnsi="仿宋_GB2312" w:eastAsia="仿宋_GB2312" w:cs="仿宋_GB2312"/>
                <w:b w:val="0"/>
                <w:bCs/>
                <w:color w:val="000000"/>
                <w:spacing w:val="6"/>
                <w:szCs w:val="28"/>
                <w:lang w:val="en-US" w:eastAsia="zh-CN"/>
              </w:rPr>
              <w:t>-</w:t>
            </w:r>
            <w:r>
              <w:rPr>
                <w:rFonts w:hint="eastAsia" w:ascii="仿宋_GB2312" w:hAnsi="仿宋_GB2312" w:eastAsia="仿宋_GB2312" w:cs="仿宋_GB2312"/>
                <w:b w:val="0"/>
                <w:bCs/>
                <w:color w:val="000000"/>
                <w:spacing w:val="6"/>
                <w:szCs w:val="28"/>
                <w:lang w:eastAsia="zh-CN"/>
              </w:rPr>
              <w:t>更新方案是否符合国土空间规划，项目设计、研究/创作依据是否贴合专业理论、行业规范及客观实际，无理论或实践层面的逻辑谬误；</w:t>
            </w:r>
          </w:p>
          <w:p w14:paraId="1D04FF82">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val="en-US" w:eastAsia="zh-CN"/>
              </w:rPr>
              <w:t>2.</w:t>
            </w:r>
            <w:r>
              <w:rPr>
                <w:rFonts w:hint="eastAsia" w:ascii="仿宋_GB2312" w:hAnsi="仿宋_GB2312" w:eastAsia="仿宋_GB2312" w:cs="仿宋_GB2312"/>
                <w:b w:val="0"/>
                <w:bCs/>
                <w:color w:val="000000"/>
                <w:spacing w:val="6"/>
                <w:szCs w:val="28"/>
              </w:rPr>
              <w:t>问题精准性</w:t>
            </w:r>
            <w:r>
              <w:rPr>
                <w:rFonts w:hint="eastAsia" w:ascii="仿宋_GB2312" w:hAnsi="仿宋_GB2312" w:eastAsia="仿宋_GB2312" w:cs="仿宋_GB2312"/>
                <w:b w:val="0"/>
                <w:bCs/>
                <w:color w:val="000000"/>
                <w:spacing w:val="6"/>
                <w:szCs w:val="28"/>
                <w:lang w:val="en-US" w:eastAsia="zh-CN"/>
              </w:rPr>
              <w:t>-</w:t>
            </w:r>
            <w:r>
              <w:rPr>
                <w:rFonts w:hint="eastAsia" w:ascii="仿宋_GB2312" w:hAnsi="仿宋_GB2312" w:eastAsia="仿宋_GB2312" w:cs="仿宋_GB2312"/>
                <w:b w:val="0"/>
                <w:bCs/>
                <w:color w:val="000000"/>
                <w:spacing w:val="6"/>
                <w:szCs w:val="28"/>
                <w:lang w:eastAsia="zh-CN"/>
              </w:rPr>
              <w:t>占比</w:t>
            </w:r>
            <w:r>
              <w:rPr>
                <w:rFonts w:hint="eastAsia" w:ascii="仿宋_GB2312" w:hAnsi="仿宋_GB2312" w:eastAsia="仿宋_GB2312" w:cs="仿宋_GB2312"/>
                <w:b w:val="0"/>
                <w:bCs/>
                <w:color w:val="000000"/>
                <w:spacing w:val="6"/>
                <w:szCs w:val="28"/>
                <w:lang w:val="en-US" w:eastAsia="zh-CN"/>
              </w:rPr>
              <w:t>15</w:t>
            </w:r>
            <w:r>
              <w:rPr>
                <w:rFonts w:hint="eastAsia" w:ascii="仿宋_GB2312" w:hAnsi="仿宋_GB2312" w:eastAsia="仿宋_GB2312" w:cs="仿宋_GB2312"/>
                <w:b w:val="0"/>
                <w:bCs/>
                <w:color w:val="000000"/>
                <w:spacing w:val="6"/>
                <w:szCs w:val="28"/>
              </w:rPr>
              <w:t>%</w:t>
            </w:r>
            <w:r>
              <w:rPr>
                <w:rFonts w:hint="eastAsia" w:ascii="仿宋_GB2312" w:hAnsi="仿宋_GB2312" w:eastAsia="仿宋_GB2312" w:cs="仿宋_GB2312"/>
                <w:b w:val="0"/>
                <w:bCs/>
                <w:color w:val="000000"/>
                <w:spacing w:val="6"/>
                <w:szCs w:val="28"/>
                <w:lang w:val="en-US" w:eastAsia="zh-CN"/>
              </w:rPr>
              <w:t>-</w:t>
            </w:r>
            <w:r>
              <w:rPr>
                <w:rFonts w:hint="eastAsia" w:ascii="仿宋_GB2312" w:hAnsi="仿宋_GB2312" w:eastAsia="仿宋_GB2312" w:cs="仿宋_GB2312"/>
                <w:b w:val="0"/>
                <w:bCs/>
                <w:color w:val="000000"/>
                <w:spacing w:val="6"/>
                <w:szCs w:val="28"/>
              </w:rPr>
              <w:t>是否精准识别三家店组团的核心矛盾与更新痛点</w:t>
            </w:r>
            <w:r>
              <w:rPr>
                <w:rFonts w:hint="eastAsia" w:ascii="仿宋_GB2312" w:hAnsi="仿宋_GB2312" w:eastAsia="仿宋_GB2312" w:cs="仿宋_GB2312"/>
                <w:b w:val="0"/>
                <w:bCs/>
                <w:color w:val="000000"/>
                <w:spacing w:val="6"/>
                <w:szCs w:val="28"/>
                <w:lang w:eastAsia="zh-CN"/>
              </w:rPr>
              <w:t>；</w:t>
            </w:r>
          </w:p>
          <w:p w14:paraId="35B022F3">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val="en-US" w:eastAsia="zh-CN"/>
              </w:rPr>
              <w:t>3.</w:t>
            </w:r>
            <w:r>
              <w:rPr>
                <w:rFonts w:hint="eastAsia" w:ascii="仿宋_GB2312" w:hAnsi="仿宋_GB2312" w:eastAsia="仿宋_GB2312" w:cs="仿宋_GB2312"/>
                <w:b w:val="0"/>
                <w:bCs/>
                <w:color w:val="000000"/>
                <w:spacing w:val="6"/>
                <w:szCs w:val="28"/>
              </w:rPr>
              <w:t>方案创新性</w:t>
            </w:r>
            <w:r>
              <w:rPr>
                <w:rFonts w:hint="eastAsia" w:ascii="仿宋_GB2312" w:hAnsi="仿宋_GB2312" w:eastAsia="仿宋_GB2312" w:cs="仿宋_GB2312"/>
                <w:b w:val="0"/>
                <w:bCs/>
                <w:color w:val="000000"/>
                <w:spacing w:val="6"/>
                <w:szCs w:val="28"/>
                <w:lang w:val="en-US" w:eastAsia="zh-CN"/>
              </w:rPr>
              <w:t>-</w:t>
            </w:r>
            <w:r>
              <w:rPr>
                <w:rFonts w:hint="eastAsia" w:ascii="仿宋_GB2312" w:hAnsi="仿宋_GB2312" w:eastAsia="仿宋_GB2312" w:cs="仿宋_GB2312"/>
                <w:b w:val="0"/>
                <w:bCs/>
                <w:color w:val="000000"/>
                <w:spacing w:val="6"/>
                <w:szCs w:val="28"/>
                <w:lang w:eastAsia="zh-CN"/>
              </w:rPr>
              <w:t>占比</w:t>
            </w:r>
            <w:r>
              <w:rPr>
                <w:rFonts w:hint="eastAsia" w:ascii="仿宋_GB2312" w:hAnsi="仿宋_GB2312" w:eastAsia="仿宋_GB2312" w:cs="仿宋_GB2312"/>
                <w:b w:val="0"/>
                <w:bCs/>
                <w:color w:val="000000"/>
                <w:spacing w:val="6"/>
                <w:szCs w:val="28"/>
              </w:rPr>
              <w:t>2</w:t>
            </w:r>
            <w:r>
              <w:rPr>
                <w:rFonts w:hint="eastAsia" w:ascii="仿宋_GB2312" w:hAnsi="仿宋_GB2312" w:eastAsia="仿宋_GB2312" w:cs="仿宋_GB2312"/>
                <w:b w:val="0"/>
                <w:bCs/>
                <w:color w:val="000000"/>
                <w:spacing w:val="6"/>
                <w:szCs w:val="28"/>
                <w:lang w:val="en-US" w:eastAsia="zh-CN"/>
              </w:rPr>
              <w:t>0</w:t>
            </w:r>
            <w:r>
              <w:rPr>
                <w:rFonts w:hint="eastAsia" w:ascii="仿宋_GB2312" w:hAnsi="仿宋_GB2312" w:eastAsia="仿宋_GB2312" w:cs="仿宋_GB2312"/>
                <w:b w:val="0"/>
                <w:bCs/>
                <w:color w:val="000000"/>
                <w:spacing w:val="6"/>
                <w:szCs w:val="28"/>
              </w:rPr>
              <w:t>%</w:t>
            </w:r>
            <w:r>
              <w:rPr>
                <w:rFonts w:hint="eastAsia" w:ascii="仿宋_GB2312" w:hAnsi="仿宋_GB2312" w:eastAsia="仿宋_GB2312" w:cs="仿宋_GB2312"/>
                <w:b w:val="0"/>
                <w:bCs/>
                <w:color w:val="000000"/>
                <w:spacing w:val="6"/>
                <w:szCs w:val="28"/>
                <w:lang w:val="en-US" w:eastAsia="zh-CN"/>
              </w:rPr>
              <w:t>-</w:t>
            </w:r>
            <w:r>
              <w:rPr>
                <w:rFonts w:hint="eastAsia" w:ascii="仿宋_GB2312" w:hAnsi="仿宋_GB2312" w:eastAsia="仿宋_GB2312" w:cs="仿宋_GB2312"/>
                <w:b w:val="0"/>
                <w:bCs/>
                <w:color w:val="000000"/>
                <w:spacing w:val="6"/>
                <w:szCs w:val="28"/>
              </w:rPr>
              <w:t>历史保护与民生改善、产业激活的融合模式是否具备创新价值</w:t>
            </w:r>
            <w:r>
              <w:rPr>
                <w:rFonts w:hint="eastAsia" w:ascii="仿宋_GB2312" w:hAnsi="仿宋_GB2312" w:eastAsia="仿宋_GB2312" w:cs="仿宋_GB2312"/>
                <w:b w:val="0"/>
                <w:bCs/>
                <w:color w:val="000000"/>
                <w:spacing w:val="6"/>
                <w:szCs w:val="28"/>
                <w:lang w:eastAsia="zh-CN"/>
              </w:rPr>
              <w:t>；</w:t>
            </w:r>
          </w:p>
          <w:p w14:paraId="4495E454">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val="en-US" w:eastAsia="zh-CN"/>
              </w:rPr>
              <w:t>4.</w:t>
            </w:r>
            <w:r>
              <w:rPr>
                <w:rFonts w:hint="eastAsia" w:ascii="仿宋_GB2312" w:hAnsi="仿宋_GB2312" w:eastAsia="仿宋_GB2312" w:cs="仿宋_GB2312"/>
                <w:b w:val="0"/>
                <w:bCs/>
                <w:color w:val="000000"/>
                <w:spacing w:val="6"/>
                <w:szCs w:val="28"/>
              </w:rPr>
              <w:t>落地可行性</w:t>
            </w:r>
            <w:r>
              <w:rPr>
                <w:rFonts w:hint="eastAsia" w:ascii="仿宋_GB2312" w:hAnsi="仿宋_GB2312" w:eastAsia="仿宋_GB2312" w:cs="仿宋_GB2312"/>
                <w:b w:val="0"/>
                <w:bCs/>
                <w:color w:val="000000"/>
                <w:spacing w:val="6"/>
                <w:szCs w:val="28"/>
                <w:lang w:val="en-US" w:eastAsia="zh-CN"/>
              </w:rPr>
              <w:t>-</w:t>
            </w:r>
            <w:r>
              <w:rPr>
                <w:rFonts w:hint="eastAsia" w:ascii="仿宋_GB2312" w:hAnsi="仿宋_GB2312" w:eastAsia="仿宋_GB2312" w:cs="仿宋_GB2312"/>
                <w:b w:val="0"/>
                <w:bCs/>
                <w:color w:val="000000"/>
                <w:spacing w:val="6"/>
                <w:szCs w:val="28"/>
                <w:lang w:eastAsia="zh-CN"/>
              </w:rPr>
              <w:t>占比</w:t>
            </w:r>
            <w:r>
              <w:rPr>
                <w:rFonts w:hint="eastAsia" w:ascii="仿宋_GB2312" w:hAnsi="仿宋_GB2312" w:eastAsia="仿宋_GB2312" w:cs="仿宋_GB2312"/>
                <w:b w:val="0"/>
                <w:bCs/>
                <w:color w:val="000000"/>
                <w:spacing w:val="6"/>
                <w:szCs w:val="28"/>
              </w:rPr>
              <w:t>30%</w:t>
            </w:r>
            <w:r>
              <w:rPr>
                <w:rFonts w:hint="eastAsia" w:ascii="仿宋_GB2312" w:hAnsi="仿宋_GB2312" w:eastAsia="仿宋_GB2312" w:cs="仿宋_GB2312"/>
                <w:b w:val="0"/>
                <w:bCs/>
                <w:color w:val="000000"/>
                <w:spacing w:val="6"/>
                <w:szCs w:val="28"/>
                <w:lang w:val="en-US" w:eastAsia="zh-CN"/>
              </w:rPr>
              <w:t>-</w:t>
            </w:r>
            <w:r>
              <w:rPr>
                <w:rFonts w:hint="eastAsia" w:ascii="仿宋_GB2312" w:hAnsi="仿宋_GB2312" w:eastAsia="仿宋_GB2312" w:cs="仿宋_GB2312"/>
                <w:b w:val="0"/>
                <w:bCs/>
                <w:color w:val="000000"/>
                <w:spacing w:val="6"/>
                <w:szCs w:val="28"/>
              </w:rPr>
              <w:t>资金平衡、实施主体、政策衔接等路径是否具备可操作性</w:t>
            </w:r>
            <w:r>
              <w:rPr>
                <w:rFonts w:hint="eastAsia" w:ascii="仿宋_GB2312" w:hAnsi="仿宋_GB2312" w:eastAsia="仿宋_GB2312" w:cs="仿宋_GB2312"/>
                <w:b w:val="0"/>
                <w:bCs/>
                <w:color w:val="000000"/>
                <w:spacing w:val="6"/>
                <w:szCs w:val="28"/>
                <w:lang w:eastAsia="zh-CN"/>
              </w:rPr>
              <w:t>；</w:t>
            </w:r>
          </w:p>
          <w:p w14:paraId="21F018ED">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val="en-US" w:eastAsia="zh-CN"/>
              </w:rPr>
              <w:t>5.</w:t>
            </w:r>
            <w:r>
              <w:rPr>
                <w:rFonts w:hint="eastAsia" w:ascii="仿宋_GB2312" w:hAnsi="仿宋_GB2312" w:eastAsia="仿宋_GB2312" w:cs="仿宋_GB2312"/>
                <w:b w:val="0"/>
                <w:bCs/>
                <w:color w:val="000000"/>
                <w:spacing w:val="6"/>
                <w:szCs w:val="28"/>
              </w:rPr>
              <w:t>成果完整性</w:t>
            </w:r>
            <w:r>
              <w:rPr>
                <w:rFonts w:hint="eastAsia" w:ascii="仿宋_GB2312" w:hAnsi="仿宋_GB2312" w:eastAsia="仿宋_GB2312" w:cs="仿宋_GB2312"/>
                <w:b w:val="0"/>
                <w:bCs/>
                <w:color w:val="000000"/>
                <w:spacing w:val="6"/>
                <w:szCs w:val="28"/>
                <w:lang w:val="en-US" w:eastAsia="zh-CN"/>
              </w:rPr>
              <w:t>-</w:t>
            </w:r>
            <w:r>
              <w:rPr>
                <w:rFonts w:hint="eastAsia" w:ascii="仿宋_GB2312" w:hAnsi="仿宋_GB2312" w:eastAsia="仿宋_GB2312" w:cs="仿宋_GB2312"/>
                <w:b w:val="0"/>
                <w:bCs/>
                <w:color w:val="000000"/>
                <w:spacing w:val="6"/>
                <w:szCs w:val="28"/>
                <w:lang w:eastAsia="zh-CN"/>
              </w:rPr>
              <w:t>占比</w:t>
            </w:r>
            <w:r>
              <w:rPr>
                <w:rFonts w:hint="eastAsia" w:ascii="仿宋_GB2312" w:hAnsi="仿宋_GB2312" w:eastAsia="仿宋_GB2312" w:cs="仿宋_GB2312"/>
                <w:b w:val="0"/>
                <w:bCs/>
                <w:color w:val="000000"/>
                <w:spacing w:val="6"/>
                <w:szCs w:val="28"/>
              </w:rPr>
              <w:t>1</w:t>
            </w:r>
            <w:r>
              <w:rPr>
                <w:rFonts w:hint="eastAsia" w:ascii="仿宋_GB2312" w:hAnsi="仿宋_GB2312" w:eastAsia="仿宋_GB2312" w:cs="仿宋_GB2312"/>
                <w:b w:val="0"/>
                <w:bCs/>
                <w:color w:val="000000"/>
                <w:spacing w:val="6"/>
                <w:szCs w:val="28"/>
                <w:lang w:val="en-US" w:eastAsia="zh-CN"/>
              </w:rPr>
              <w:t>0</w:t>
            </w:r>
            <w:r>
              <w:rPr>
                <w:rFonts w:hint="eastAsia" w:ascii="仿宋_GB2312" w:hAnsi="仿宋_GB2312" w:eastAsia="仿宋_GB2312" w:cs="仿宋_GB2312"/>
                <w:b w:val="0"/>
                <w:bCs/>
                <w:color w:val="000000"/>
                <w:spacing w:val="6"/>
                <w:szCs w:val="28"/>
              </w:rPr>
              <w:t>%</w:t>
            </w:r>
            <w:r>
              <w:rPr>
                <w:rFonts w:hint="eastAsia" w:ascii="仿宋_GB2312" w:hAnsi="仿宋_GB2312" w:eastAsia="仿宋_GB2312" w:cs="仿宋_GB2312"/>
                <w:b w:val="0"/>
                <w:bCs/>
                <w:color w:val="000000"/>
                <w:spacing w:val="6"/>
                <w:szCs w:val="28"/>
                <w:lang w:val="en-US" w:eastAsia="zh-CN"/>
              </w:rPr>
              <w:t>-</w:t>
            </w:r>
            <w:r>
              <w:rPr>
                <w:rFonts w:hint="eastAsia" w:ascii="仿宋_GB2312" w:hAnsi="仿宋_GB2312" w:eastAsia="仿宋_GB2312" w:cs="仿宋_GB2312"/>
                <w:b w:val="0"/>
                <w:bCs/>
                <w:color w:val="000000"/>
                <w:spacing w:val="6"/>
                <w:szCs w:val="28"/>
              </w:rPr>
              <w:t>文本、图纸等成果是否</w:t>
            </w:r>
            <w:r>
              <w:rPr>
                <w:rFonts w:hint="eastAsia" w:ascii="仿宋_GB2312" w:hAnsi="仿宋_GB2312" w:eastAsia="仿宋_GB2312" w:cs="仿宋_GB2312"/>
                <w:b w:val="0"/>
                <w:bCs/>
                <w:color w:val="000000"/>
                <w:spacing w:val="6"/>
                <w:szCs w:val="28"/>
                <w:lang w:eastAsia="zh-CN"/>
              </w:rPr>
              <w:t>完整严谨、</w:t>
            </w:r>
            <w:r>
              <w:rPr>
                <w:rFonts w:hint="eastAsia" w:ascii="仿宋_GB2312" w:hAnsi="仿宋_GB2312" w:eastAsia="仿宋_GB2312" w:cs="仿宋_GB2312"/>
                <w:b w:val="0"/>
                <w:bCs/>
                <w:color w:val="000000"/>
                <w:spacing w:val="6"/>
                <w:szCs w:val="28"/>
              </w:rPr>
              <w:t>符合专业规范，逻辑清晰</w:t>
            </w:r>
            <w:r>
              <w:rPr>
                <w:rFonts w:hint="eastAsia" w:ascii="仿宋_GB2312" w:hAnsi="仿宋_GB2312" w:eastAsia="仿宋_GB2312" w:cs="仿宋_GB2312"/>
                <w:b w:val="0"/>
                <w:bCs/>
                <w:color w:val="000000"/>
                <w:spacing w:val="6"/>
                <w:szCs w:val="28"/>
                <w:lang w:eastAsia="zh-CN"/>
              </w:rPr>
              <w:t>；</w:t>
            </w:r>
          </w:p>
          <w:p w14:paraId="3275C9EA">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val="en-US" w:eastAsia="zh-CN"/>
              </w:rPr>
              <w:t>6.</w:t>
            </w:r>
            <w:r>
              <w:rPr>
                <w:rFonts w:hint="eastAsia" w:ascii="仿宋_GB2312" w:hAnsi="仿宋_GB2312" w:eastAsia="仿宋_GB2312" w:cs="仿宋_GB2312"/>
                <w:b w:val="0"/>
                <w:bCs/>
                <w:color w:val="000000"/>
                <w:spacing w:val="6"/>
                <w:szCs w:val="28"/>
              </w:rPr>
              <w:t>社会效益</w:t>
            </w:r>
            <w:r>
              <w:rPr>
                <w:rFonts w:hint="eastAsia" w:ascii="仿宋_GB2312" w:hAnsi="仿宋_GB2312" w:eastAsia="仿宋_GB2312" w:cs="仿宋_GB2312"/>
                <w:b w:val="0"/>
                <w:bCs/>
                <w:color w:val="000000"/>
                <w:spacing w:val="6"/>
                <w:szCs w:val="28"/>
                <w:lang w:val="en-US" w:eastAsia="zh-CN"/>
              </w:rPr>
              <w:t>-</w:t>
            </w:r>
            <w:r>
              <w:rPr>
                <w:rFonts w:hint="eastAsia" w:ascii="仿宋_GB2312" w:hAnsi="仿宋_GB2312" w:eastAsia="仿宋_GB2312" w:cs="仿宋_GB2312"/>
                <w:b w:val="0"/>
                <w:bCs/>
                <w:color w:val="000000"/>
                <w:spacing w:val="6"/>
                <w:szCs w:val="28"/>
                <w:lang w:eastAsia="zh-CN"/>
              </w:rPr>
              <w:t>占比</w:t>
            </w:r>
            <w:r>
              <w:rPr>
                <w:rFonts w:hint="eastAsia" w:ascii="仿宋_GB2312" w:hAnsi="仿宋_GB2312" w:eastAsia="仿宋_GB2312" w:cs="仿宋_GB2312"/>
                <w:b w:val="0"/>
                <w:bCs/>
                <w:color w:val="000000"/>
                <w:spacing w:val="6"/>
                <w:szCs w:val="28"/>
              </w:rPr>
              <w:t>10%</w:t>
            </w:r>
            <w:r>
              <w:rPr>
                <w:rFonts w:hint="eastAsia" w:ascii="仿宋_GB2312" w:hAnsi="仿宋_GB2312" w:eastAsia="仿宋_GB2312" w:cs="仿宋_GB2312"/>
                <w:b w:val="0"/>
                <w:bCs/>
                <w:color w:val="000000"/>
                <w:spacing w:val="6"/>
                <w:szCs w:val="28"/>
                <w:lang w:val="en-US" w:eastAsia="zh-CN"/>
              </w:rPr>
              <w:t>-</w:t>
            </w:r>
            <w:r>
              <w:rPr>
                <w:rFonts w:hint="eastAsia" w:ascii="仿宋_GB2312" w:hAnsi="仿宋_GB2312" w:eastAsia="仿宋_GB2312" w:cs="仿宋_GB2312"/>
                <w:b w:val="0"/>
                <w:bCs/>
                <w:color w:val="000000"/>
                <w:spacing w:val="6"/>
                <w:szCs w:val="28"/>
              </w:rPr>
              <w:t>方案对片区民生福祉、文化传承的提升作用</w:t>
            </w:r>
            <w:r>
              <w:rPr>
                <w:rFonts w:hint="eastAsia" w:ascii="仿宋_GB2312" w:hAnsi="仿宋_GB2312" w:eastAsia="仿宋_GB2312" w:cs="仿宋_GB2312"/>
                <w:b w:val="0"/>
                <w:bCs/>
                <w:color w:val="000000"/>
                <w:spacing w:val="6"/>
                <w:szCs w:val="28"/>
                <w:lang w:eastAsia="zh-CN"/>
              </w:rPr>
              <w:t>。</w:t>
            </w:r>
          </w:p>
        </w:tc>
      </w:tr>
      <w:tr w14:paraId="753EC7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B1434FE">
            <w:pPr>
              <w:keepNext w:val="0"/>
              <w:keepLines w:val="0"/>
              <w:pageBreakBefore w:val="0"/>
              <w:widowControl w:val="0"/>
              <w:kinsoku/>
              <w:wordWrap w:val="0"/>
              <w:overflowPunct w:val="0"/>
              <w:topLinePunct w:val="0"/>
              <w:autoSpaceDE/>
              <w:autoSpaceDN/>
              <w:bidi w:val="0"/>
              <w:adjustRightInd w:val="0"/>
              <w:snapToGrid w:val="0"/>
              <w:spacing w:line="240" w:lineRule="auto"/>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6788D70">
            <w:pPr>
              <w:keepNext w:val="0"/>
              <w:keepLines w:val="0"/>
              <w:pageBreakBefore w:val="0"/>
              <w:widowControl w:val="0"/>
              <w:kinsoku/>
              <w:wordWrap w:val="0"/>
              <w:overflowPunct w:val="0"/>
              <w:topLinePunct w:val="0"/>
              <w:autoSpaceDE/>
              <w:autoSpaceDN/>
              <w:bidi w:val="0"/>
              <w:adjustRightInd w:val="0"/>
              <w:snapToGrid w:val="0"/>
              <w:ind w:firstLine="480"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color w:val="000000"/>
                <w:u w:val="none"/>
              </w:rPr>
              <w:t>参赛作品需严格遵守《“挑战杯”首都大学生创业计划竞赛章程》，不得涉及涉密内容，且须为原创成果，严禁抄袭、剽窃。</w:t>
            </w:r>
          </w:p>
        </w:tc>
      </w:tr>
    </w:tbl>
    <w:p w14:paraId="5F0AF6C7">
      <w:pPr>
        <w:keepNext w:val="0"/>
        <w:keepLines w:val="0"/>
        <w:pageBreakBefore w:val="0"/>
        <w:widowControl w:val="0"/>
        <w:tabs>
          <w:tab w:val="left" w:pos="8640"/>
        </w:tabs>
        <w:kinsoku/>
        <w:wordWrap w:val="0"/>
        <w:topLinePunct w:val="0"/>
        <w:autoSpaceDE/>
        <w:autoSpaceDN/>
        <w:bidi w:val="0"/>
        <w:adjustRightInd w:val="0"/>
        <w:snapToGrid w:val="0"/>
        <w:spacing w:line="440" w:lineRule="exact"/>
        <w:textAlignment w:val="auto"/>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F5CAE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9B61109">
            <w:pPr>
              <w:keepNext w:val="0"/>
              <w:keepLines w:val="0"/>
              <w:pageBreakBefore w:val="0"/>
              <w:widowControl w:val="0"/>
              <w:kinsoku/>
              <w:wordWrap w:val="0"/>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63692A2">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rPr>
              <w:t>1.提供三家店组团现状调研数据、历史文化资源普查等基础资料；2.安排分局</w:t>
            </w:r>
            <w:r>
              <w:rPr>
                <w:rFonts w:hint="eastAsia" w:ascii="仿宋_GB2312" w:hAnsi="仿宋_GB2312" w:eastAsia="仿宋_GB2312" w:cs="仿宋_GB2312"/>
                <w:b w:val="0"/>
                <w:bCs/>
                <w:color w:val="000000"/>
                <w:spacing w:val="6"/>
                <w:szCs w:val="28"/>
                <w:lang w:val="en-US" w:eastAsia="zh-CN"/>
              </w:rPr>
              <w:t>相关科室</w:t>
            </w:r>
            <w:r>
              <w:rPr>
                <w:rFonts w:hint="eastAsia" w:ascii="仿宋_GB2312" w:hAnsi="仿宋_GB2312" w:eastAsia="仿宋_GB2312" w:cs="仿宋_GB2312"/>
                <w:b w:val="0"/>
                <w:bCs/>
                <w:color w:val="000000"/>
                <w:spacing w:val="6"/>
                <w:szCs w:val="28"/>
                <w:lang w:val="en-US"/>
              </w:rPr>
              <w:t>提供技术指导；3.组织参赛团队赴项目现场踏勘、对接</w:t>
            </w:r>
            <w:r>
              <w:rPr>
                <w:rFonts w:hint="eastAsia" w:ascii="仿宋_GB2312" w:hAnsi="仿宋_GB2312" w:eastAsia="仿宋_GB2312" w:cs="仿宋_GB2312"/>
                <w:b w:val="0"/>
                <w:bCs/>
                <w:color w:val="000000"/>
                <w:spacing w:val="6"/>
                <w:szCs w:val="28"/>
                <w:lang w:val="en-US" w:eastAsia="zh-CN"/>
              </w:rPr>
              <w:t>乡镇</w:t>
            </w:r>
            <w:r>
              <w:rPr>
                <w:rFonts w:hint="eastAsia" w:ascii="仿宋_GB2312" w:hAnsi="仿宋_GB2312" w:eastAsia="仿宋_GB2312" w:cs="仿宋_GB2312"/>
                <w:b w:val="0"/>
                <w:bCs/>
                <w:color w:val="000000"/>
                <w:spacing w:val="6"/>
                <w:szCs w:val="28"/>
                <w:lang w:val="en-US"/>
              </w:rPr>
              <w:t>与村集体；4.协助对接京西文旅、城市更新等相关企业资源。</w:t>
            </w:r>
          </w:p>
        </w:tc>
      </w:tr>
      <w:tr w14:paraId="6B5414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B0D0189">
            <w:pPr>
              <w:keepNext w:val="0"/>
              <w:keepLines w:val="0"/>
              <w:pageBreakBefore w:val="0"/>
              <w:widowControl w:val="0"/>
              <w:kinsoku/>
              <w:wordWrap w:val="0"/>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5E4368D">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一、奖项设置</w:t>
            </w:r>
          </w:p>
          <w:p w14:paraId="33F71DE0">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原则上设“擂主”团队1个，根据实际情况评出相应的特等奖、一等奖、二等奖、三等奖项目若干。</w:t>
            </w:r>
          </w:p>
          <w:p w14:paraId="43570921">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二、激励措施</w:t>
            </w:r>
          </w:p>
          <w:p w14:paraId="7C588CEB">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为获奖者提供本社区实习实践机会。</w:t>
            </w:r>
          </w:p>
        </w:tc>
      </w:tr>
    </w:tbl>
    <w:p w14:paraId="1877CA64">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185595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97"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944274F">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D051CD">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eastAsia="zh-CN"/>
              </w:rPr>
              <w:t>针对京西历史文化型城中村更新的技术难点，探索“小规模、渐进式”更新技术方法，突破传统大拆大建的模式局限，为同类片区提供可复制的技术路径，助力破解城市更新中“保护与发展”的矛盾难题。</w:t>
            </w:r>
          </w:p>
        </w:tc>
      </w:tr>
      <w:tr w14:paraId="6872C3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279"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58E869">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B62CA3">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预期成果可推动三家店组团人居环境提质、历史文化资源活化，带动京西文旅产业升级，创造就业岗位；同时改善民生福祉，增强居民获得感，助力门头沟区城乡融合发展，为首都城市更新提供民生保障与文化传承的双重示范。</w:t>
            </w:r>
          </w:p>
        </w:tc>
      </w:tr>
    </w:tbl>
    <w:p w14:paraId="0D82194D">
      <w:pPr>
        <w:keepNext w:val="0"/>
        <w:keepLines w:val="0"/>
        <w:pageBreakBefore w:val="0"/>
        <w:widowControl w:val="0"/>
        <w:kinsoku/>
        <w:wordWrap w:val="0"/>
        <w:topLinePunct w:val="0"/>
        <w:autoSpaceDE/>
        <w:autoSpaceDN/>
        <w:bidi w:val="0"/>
        <w:textAlignment w:val="auto"/>
        <w:rPr>
          <w:rFonts w:hint="eastAsia" w:ascii="楷体_GB2312" w:hAnsi="楷体_GB2312" w:eastAsia="楷体_GB2312" w:cs="楷体_GB2312"/>
          <w:color w:val="auto"/>
        </w:rPr>
      </w:pPr>
      <w:r>
        <w:rPr>
          <w:rFonts w:hint="eastAsia" w:ascii="楷体_GB2312" w:hAnsi="楷体_GB2312" w:eastAsia="楷体_GB2312" w:cs="楷体_GB2312"/>
          <w:color w:val="auto"/>
        </w:rPr>
        <w:br w:type="page"/>
      </w:r>
    </w:p>
    <w:p w14:paraId="460E30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30A0E160">
      <w:pPr>
        <w:widowControl w:val="0"/>
        <w:tabs>
          <w:tab w:val="left" w:pos="8640"/>
        </w:tabs>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—14</w:t>
      </w:r>
    </w:p>
    <w:p w14:paraId="72655793">
      <w:pPr>
        <w:keepNext w:val="0"/>
        <w:keepLines w:val="0"/>
        <w:pageBreakBefore w:val="0"/>
        <w:widowControl w:val="0"/>
        <w:tabs>
          <w:tab w:val="left" w:pos="8640"/>
        </w:tabs>
        <w:kinsoku/>
        <w:wordWrap w:val="0"/>
        <w:overflowPunct/>
        <w:topLinePunct w:val="0"/>
        <w:autoSpaceDE/>
        <w:autoSpaceDN/>
        <w:bidi w:val="0"/>
        <w:adjustRightInd w:val="0"/>
        <w:snapToGrid w:val="0"/>
        <w:spacing w:line="240" w:lineRule="auto"/>
        <w:textAlignment w:val="auto"/>
        <w:rPr>
          <w:rFonts w:ascii="方正黑体简体" w:eastAsia="方正黑体简体"/>
          <w:bCs/>
          <w:color w:val="auto"/>
          <w:spacing w:val="6"/>
          <w:sz w:val="21"/>
          <w:szCs w:val="21"/>
        </w:rPr>
      </w:pPr>
    </w:p>
    <w:p w14:paraId="7FEC77E6">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4A5B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47FC7718">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543FADDB">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北京市门头沟区环境卫生服务中心</w:t>
            </w:r>
          </w:p>
        </w:tc>
      </w:tr>
      <w:tr w14:paraId="2F8E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7E2B8D1">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2D237252">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机关事业单位</w:t>
            </w:r>
          </w:p>
        </w:tc>
      </w:tr>
      <w:tr w14:paraId="454C8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7A83C8AE">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7CC46ABC">
            <w:pPr>
              <w:keepNext w:val="0"/>
              <w:keepLines w:val="0"/>
              <w:pageBreakBefore w:val="0"/>
              <w:widowControl w:val="0"/>
              <w:kinsoku/>
              <w:wordWrap w:val="0"/>
              <w:topLinePunct w:val="0"/>
              <w:autoSpaceDE/>
              <w:autoSpaceDN/>
              <w:bidi w:val="0"/>
              <w:adjustRightInd w:val="0"/>
              <w:jc w:val="center"/>
              <w:rPr>
                <w:rFonts w:hint="default" w:ascii="仿宋_GB2312" w:hAnsi="仿宋_GB2312" w:eastAsia="仿宋_GB2312" w:cs="仿宋_GB2312"/>
                <w:color w:val="auto"/>
                <w:lang w:val="en-US"/>
              </w:rPr>
            </w:pPr>
            <w:r>
              <w:rPr>
                <w:rFonts w:hint="eastAsia" w:ascii="仿宋_GB2312" w:hAnsi="仿宋_GB2312" w:eastAsia="仿宋_GB2312" w:cs="仿宋_GB2312"/>
                <w:bCs/>
                <w:color w:val="auto"/>
                <w:spacing w:val="6"/>
                <w:szCs w:val="28"/>
                <w:lang w:val="en-US" w:eastAsia="zh-CN"/>
              </w:rPr>
              <w:t>北京市门头沟区永定镇冯村西里977总站旁</w:t>
            </w:r>
          </w:p>
        </w:tc>
      </w:tr>
      <w:tr w14:paraId="6FB4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331EC450">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09B77A25">
            <w:pPr>
              <w:keepNext w:val="0"/>
              <w:keepLines w:val="0"/>
              <w:pageBreakBefore w:val="0"/>
              <w:widowControl w:val="0"/>
              <w:kinsoku/>
              <w:wordWrap w:val="0"/>
              <w:overflowPunct/>
              <w:topLinePunct w:val="0"/>
              <w:autoSpaceDE/>
              <w:autoSpaceDN/>
              <w:bidi w:val="0"/>
              <w:adjustRightInd w:val="0"/>
              <w:snapToGrid w:val="0"/>
              <w:ind w:firstLine="504" w:firstLineChars="200"/>
              <w:jc w:val="left"/>
              <w:textAlignment w:val="auto"/>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rPr>
              <w:t>负责贯彻落实本区市容环境卫生发展规划和年度计划；根据区政府下达的环境卫生作业任务、指标和要求，承担作业范围内道路的清扫保洁工作，以及垃圾的收集、清运、转运工作，公厕的保洁和粪便的清运、消纳处理工作；负责本区域内环境卫生相关服务性、技术性、事务性工作；完成区委、区政府交办的其他任务。</w:t>
            </w:r>
          </w:p>
        </w:tc>
      </w:tr>
      <w:tr w14:paraId="1E53A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0EC32821">
            <w:pPr>
              <w:keepNext w:val="0"/>
              <w:keepLines w:val="0"/>
              <w:pageBreakBefore w:val="0"/>
              <w:widowControl w:val="0"/>
              <w:kinsoku/>
              <w:wordWrap w:val="0"/>
              <w:topLinePunct w:val="0"/>
              <w:autoSpaceDE/>
              <w:autoSpaceDN/>
              <w:bidi w:val="0"/>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3846930A">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李兵</w:t>
            </w:r>
          </w:p>
        </w:tc>
        <w:tc>
          <w:tcPr>
            <w:tcW w:w="1073" w:type="dxa"/>
            <w:vAlign w:val="center"/>
          </w:tcPr>
          <w:p w14:paraId="71326E77">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41309BED">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lang w:eastAsia="zh-CN"/>
              </w:rPr>
            </w:pPr>
            <w:r>
              <w:rPr>
                <w:rFonts w:hint="eastAsia" w:ascii="仿宋_GB2312" w:hAnsi="仿宋_GB2312" w:eastAsia="仿宋_GB2312" w:cs="仿宋_GB2312"/>
                <w:bCs/>
                <w:color w:val="auto"/>
                <w:spacing w:val="6"/>
                <w:szCs w:val="28"/>
                <w:lang w:eastAsia="zh-CN"/>
              </w:rPr>
              <w:t>党群绩效部负责人</w:t>
            </w:r>
          </w:p>
        </w:tc>
      </w:tr>
      <w:tr w14:paraId="34CE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23DC13EB">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31609000">
            <w:pPr>
              <w:keepNext w:val="0"/>
              <w:keepLines w:val="0"/>
              <w:pageBreakBefore w:val="0"/>
              <w:widowControl w:val="0"/>
              <w:kinsoku/>
              <w:wordWrap w:val="0"/>
              <w:topLinePunct w:val="0"/>
              <w:autoSpaceDE/>
              <w:autoSpaceDN/>
              <w:bidi w:val="0"/>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Times New Roman" w:hAnsi="Times New Roman" w:eastAsia="方正仿宋简体" w:cs="Times New Roman"/>
                <w:color w:val="auto"/>
                <w:lang w:val="en-US" w:eastAsia="zh-CN"/>
              </w:rPr>
              <w:t>69841086</w:t>
            </w:r>
          </w:p>
        </w:tc>
        <w:tc>
          <w:tcPr>
            <w:tcW w:w="1073" w:type="dxa"/>
            <w:vAlign w:val="center"/>
          </w:tcPr>
          <w:p w14:paraId="7FB06B36">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5961AA9D">
            <w:pPr>
              <w:keepNext w:val="0"/>
              <w:keepLines w:val="0"/>
              <w:pageBreakBefore w:val="0"/>
              <w:widowControl w:val="0"/>
              <w:kinsoku/>
              <w:wordWrap w:val="0"/>
              <w:topLinePunct w:val="0"/>
              <w:autoSpaceDE/>
              <w:autoSpaceDN/>
              <w:bidi w:val="0"/>
              <w:adjustRightInd w:val="0"/>
              <w:jc w:val="center"/>
              <w:rPr>
                <w:rFonts w:hint="default" w:ascii="Times New Roman" w:hAnsi="Times New Roman" w:eastAsia="方正仿宋简体" w:cs="Times New Roman"/>
                <w:color w:val="auto"/>
                <w:lang w:val="en-US" w:eastAsia="zh-CN"/>
              </w:rPr>
            </w:pPr>
            <w:r>
              <w:rPr>
                <w:rFonts w:hint="default" w:ascii="Times New Roman" w:hAnsi="Times New Roman" w:eastAsia="方正仿宋简体" w:cs="Times New Roman"/>
                <w:color w:val="auto"/>
                <w:lang w:val="en-US" w:eastAsia="zh-CN"/>
              </w:rPr>
              <w:t>18600647909</w:t>
            </w:r>
          </w:p>
        </w:tc>
      </w:tr>
    </w:tbl>
    <w:p w14:paraId="6DFA0BD6">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0CD838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D2E9C8C">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22B74BB">
            <w:pPr>
              <w:keepNext w:val="0"/>
              <w:keepLines w:val="0"/>
              <w:pageBreakBefore w:val="0"/>
              <w:widowControl w:val="0"/>
              <w:kinsoku/>
              <w:wordWrap w:val="0"/>
              <w:topLinePunct w:val="0"/>
              <w:autoSpaceDE/>
              <w:autoSpaceDN/>
              <w:bidi w:val="0"/>
              <w:adjustRightInd w:val="0"/>
              <w:snapToGrid w:val="0"/>
              <w:ind w:firstLine="480"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环卫道路尘负荷精准管控与高效降尘技术及方案创新</w:t>
            </w:r>
          </w:p>
        </w:tc>
      </w:tr>
      <w:tr w14:paraId="30CBB3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E306F38">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205E6B4">
            <w:pPr>
              <w:keepNext w:val="0"/>
              <w:keepLines w:val="0"/>
              <w:pageBreakBefore w:val="0"/>
              <w:widowControl w:val="0"/>
              <w:kinsoku/>
              <w:wordWrap w:val="0"/>
              <w:topLinePunct w:val="0"/>
              <w:autoSpaceDE/>
              <w:autoSpaceDN/>
              <w:bidi w:val="0"/>
              <w:adjustRightInd w:val="0"/>
              <w:snapToGrid w:val="0"/>
              <w:ind w:firstLine="480"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新一代信息技术、高端装备、社会科学（城市治理方向）</w:t>
            </w:r>
          </w:p>
        </w:tc>
      </w:tr>
      <w:tr w14:paraId="4CDDC3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42A246E">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34BC7F6">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道路尘负荷是指车辆正常行驶时从路面扬起的粒径小于75微米的尘土，能反映道路扬尘潜力，其数值越高，扬尘排放能力越强，直接影响空气质量与市民健康。作为北京市生态环境局监测道路扬尘治理效果的核心指标，其与道路尘土残存量（住建部行标、北京市地标明确的道路洁净程度量化指标）存在密切关联，后者是前者检测方法的合理简化优化。当前环卫道路降尘面临三大痛点：</w:t>
            </w:r>
            <w:r>
              <w:rPr>
                <w:rFonts w:hint="eastAsia" w:ascii="仿宋_GB2312" w:hAnsi="仿宋_GB2312" w:eastAsia="仿宋_GB2312" w:cs="仿宋_GB2312"/>
                <w:b/>
                <w:bCs w:val="0"/>
                <w:color w:val="000000"/>
                <w:spacing w:val="6"/>
                <w:szCs w:val="28"/>
                <w:lang w:val="en-US" w:eastAsia="zh-CN"/>
              </w:rPr>
              <w:t>一是</w:t>
            </w:r>
            <w:r>
              <w:rPr>
                <w:rFonts w:hint="eastAsia" w:ascii="仿宋_GB2312" w:hAnsi="仿宋_GB2312" w:eastAsia="仿宋_GB2312" w:cs="仿宋_GB2312"/>
                <w:b w:val="0"/>
                <w:bCs/>
                <w:color w:val="000000"/>
                <w:spacing w:val="6"/>
                <w:szCs w:val="28"/>
                <w:lang w:val="en-US" w:eastAsia="zh-CN"/>
              </w:rPr>
              <w:t>作业精准度不足，对施工工地周边、渣土车遗撒路段等污染重点区域适配性差；</w:t>
            </w:r>
            <w:r>
              <w:rPr>
                <w:rFonts w:hint="eastAsia" w:ascii="仿宋_GB2312" w:hAnsi="仿宋_GB2312" w:eastAsia="仿宋_GB2312" w:cs="仿宋_GB2312"/>
                <w:b/>
                <w:bCs w:val="0"/>
                <w:color w:val="000000"/>
                <w:spacing w:val="6"/>
                <w:szCs w:val="28"/>
                <w:lang w:val="en-US" w:eastAsia="zh-CN"/>
              </w:rPr>
              <w:t>二是</w:t>
            </w:r>
            <w:r>
              <w:rPr>
                <w:rFonts w:hint="eastAsia" w:ascii="仿宋_GB2312" w:hAnsi="仿宋_GB2312" w:eastAsia="仿宋_GB2312" w:cs="仿宋_GB2312"/>
                <w:b w:val="0"/>
                <w:bCs/>
                <w:color w:val="000000"/>
                <w:spacing w:val="6"/>
                <w:szCs w:val="28"/>
                <w:lang w:val="en-US" w:eastAsia="zh-CN"/>
              </w:rPr>
              <w:t>现有“洗、扫、冲、吸”组合作业模式未能实现“一路一策”动态优化，过度作业易产生附加污染；</w:t>
            </w:r>
            <w:r>
              <w:rPr>
                <w:rFonts w:hint="eastAsia" w:ascii="仿宋_GB2312" w:hAnsi="仿宋_GB2312" w:eastAsia="仿宋_GB2312" w:cs="仿宋_GB2312"/>
                <w:b/>
                <w:bCs w:val="0"/>
                <w:color w:val="000000"/>
                <w:spacing w:val="6"/>
                <w:szCs w:val="28"/>
                <w:lang w:val="en-US" w:eastAsia="zh-CN"/>
              </w:rPr>
              <w:t>三是</w:t>
            </w:r>
            <w:r>
              <w:rPr>
                <w:rFonts w:hint="eastAsia" w:ascii="仿宋_GB2312" w:hAnsi="仿宋_GB2312" w:eastAsia="仿宋_GB2312" w:cs="仿宋_GB2312"/>
                <w:b w:val="0"/>
                <w:bCs/>
                <w:color w:val="000000"/>
                <w:spacing w:val="6"/>
                <w:szCs w:val="28"/>
                <w:lang w:val="en-US" w:eastAsia="zh-CN"/>
              </w:rPr>
              <w:t>人力物力成本偏高，且受道路违规停放等外部因素影响，积尘清除不彻底。本选题面向城市环卫实际需求，聚焦道路尘负荷标准化监测方法优化、差异化降尘作业工艺创新、重点区域精准管控等核心诉求，寻求可落地、可推广的技术创新或管理方案，助力提升环卫作业效能与城市精细化治理水平。</w:t>
            </w:r>
          </w:p>
        </w:tc>
      </w:tr>
      <w:tr w14:paraId="72E21B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DDB9AF5">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8C5B4E7">
            <w:pPr>
              <w:keepNext w:val="0"/>
              <w:keepLines w:val="0"/>
              <w:pageBreakBefore w:val="0"/>
              <w:widowControl w:val="0"/>
              <w:numPr>
                <w:ilvl w:val="0"/>
                <w:numId w:val="0"/>
              </w:numPr>
              <w:kinsoku/>
              <w:wordWrap w:val="0"/>
              <w:topLinePunct w:val="0"/>
              <w:autoSpaceDE/>
              <w:autoSpaceDN/>
              <w:bidi w:val="0"/>
              <w:adjustRightInd w:val="0"/>
              <w:snapToGrid w:val="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color w:val="000000"/>
              </w:rPr>
              <w:t>1</w:t>
            </w:r>
            <w:r>
              <w:rPr>
                <w:rFonts w:hint="eastAsia" w:ascii="仿宋_GB2312" w:hAnsi="仿宋_GB2312" w:eastAsia="仿宋_GB2312" w:cs="仿宋_GB2312"/>
                <w:b w:val="0"/>
                <w:bCs/>
                <w:color w:val="000000"/>
                <w:spacing w:val="6"/>
                <w:szCs w:val="28"/>
                <w:lang w:val="en-US" w:eastAsia="zh-CN"/>
              </w:rPr>
              <w:t>.方案需结合环卫作业实际，包含尘负荷标准化监测（参考HJ/T 393-2007规范）、差异化降尘技术路径、重点污染区域作业流程优化等核心内容；</w:t>
            </w:r>
          </w:p>
          <w:p w14:paraId="7B609507">
            <w:pPr>
              <w:keepNext w:val="0"/>
              <w:keepLines w:val="0"/>
              <w:pageBreakBefore w:val="0"/>
              <w:widowControl w:val="0"/>
              <w:numPr>
                <w:ilvl w:val="0"/>
                <w:numId w:val="0"/>
              </w:numPr>
              <w:kinsoku/>
              <w:wordWrap w:val="0"/>
              <w:topLinePunct w:val="0"/>
              <w:autoSpaceDE/>
              <w:autoSpaceDN/>
              <w:bidi w:val="0"/>
              <w:adjustRightInd w:val="0"/>
              <w:snapToGrid w:val="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2.需明确技术参数（如目标尘负荷控制值、不同等级道路作业频次）、实施步骤及预期效果分析，附成本测算与可行性论证，需适配一级路（满分指标10g/㎡）、二级路（满分指标15g/㎡）、三级路（满分指标20g/㎡）的差异化考核要求；3.提交形式为完整创业计划书（含文字说明、图表、数据支撑），字数不超过5000字，可搭配PPT演示材料；</w:t>
            </w:r>
          </w:p>
          <w:p w14:paraId="7E9164A3">
            <w:pPr>
              <w:keepNext w:val="0"/>
              <w:keepLines w:val="0"/>
              <w:pageBreakBefore w:val="0"/>
              <w:widowControl w:val="0"/>
              <w:numPr>
                <w:ilvl w:val="0"/>
                <w:numId w:val="0"/>
              </w:numPr>
              <w:kinsoku/>
              <w:wordWrap w:val="0"/>
              <w:topLinePunct w:val="0"/>
              <w:autoSpaceDE/>
              <w:autoSpaceDN/>
              <w:bidi w:val="0"/>
              <w:adjustRightInd w:val="0"/>
              <w:snapToGrid w:val="0"/>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val="en-US" w:eastAsia="zh-CN"/>
              </w:rPr>
              <w:t>4.作品需为原创，无知识产权纠纷，需充分考虑道路施工、车辆停放等外部因素影响。</w:t>
            </w:r>
          </w:p>
        </w:tc>
      </w:tr>
      <w:tr w14:paraId="158DD5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59FF70">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08B67335">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D967F">
            <w:pPr>
              <w:keepNext w:val="0"/>
              <w:keepLines w:val="0"/>
              <w:pageBreakBefore w:val="0"/>
              <w:widowControl w:val="0"/>
              <w:numPr>
                <w:ilvl w:val="0"/>
                <w:numId w:val="0"/>
              </w:numPr>
              <w:kinsoku/>
              <w:wordWrap w:val="0"/>
              <w:overflowPunct w:val="0"/>
              <w:topLinePunct w:val="0"/>
              <w:autoSpaceDE/>
              <w:autoSpaceDN/>
              <w:bidi w:val="0"/>
              <w:adjustRightInd w:val="0"/>
              <w:snapToGrid w:val="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1.创新性（30%）：技术或方案具备原创性，能突破现有“人机结合”作业模式瓶颈，实现尘负荷监测与降尘作业的动态联动；</w:t>
            </w:r>
          </w:p>
          <w:p w14:paraId="1EB1EF0A">
            <w:pPr>
              <w:keepNext w:val="0"/>
              <w:keepLines w:val="0"/>
              <w:pageBreakBefore w:val="0"/>
              <w:widowControl w:val="0"/>
              <w:numPr>
                <w:ilvl w:val="0"/>
                <w:numId w:val="0"/>
              </w:numPr>
              <w:kinsoku/>
              <w:wordWrap w:val="0"/>
              <w:overflowPunct w:val="0"/>
              <w:topLinePunct w:val="0"/>
              <w:autoSpaceDE/>
              <w:autoSpaceDN/>
              <w:bidi w:val="0"/>
              <w:adjustRightInd w:val="0"/>
              <w:snapToGrid w:val="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2.实用性（30%）：贴合环卫实际需求，可直接应用于道路尘负荷管控实践，能有效应对施工扬尘、渣土车遗撒等重点污染场景；</w:t>
            </w:r>
          </w:p>
          <w:p w14:paraId="57A7FD25">
            <w:pPr>
              <w:keepNext w:val="0"/>
              <w:keepLines w:val="0"/>
              <w:pageBreakBefore w:val="0"/>
              <w:widowControl w:val="0"/>
              <w:numPr>
                <w:ilvl w:val="0"/>
                <w:numId w:val="0"/>
              </w:numPr>
              <w:kinsoku/>
              <w:wordWrap w:val="0"/>
              <w:overflowPunct w:val="0"/>
              <w:topLinePunct w:val="0"/>
              <w:autoSpaceDE/>
              <w:autoSpaceDN/>
              <w:bidi w:val="0"/>
              <w:adjustRightInd w:val="0"/>
              <w:snapToGrid w:val="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3.可行性（20%）：技术成熟度高、成本可控，符合《城市道路清扫保洁质量与作业要求》（DB11/T 353-2021）标准，具备落地推广条件；</w:t>
            </w:r>
          </w:p>
          <w:p w14:paraId="51EE9A91">
            <w:pPr>
              <w:keepNext w:val="0"/>
              <w:keepLines w:val="0"/>
              <w:pageBreakBefore w:val="0"/>
              <w:widowControl w:val="0"/>
              <w:numPr>
                <w:ilvl w:val="0"/>
                <w:numId w:val="0"/>
              </w:numPr>
              <w:kinsoku/>
              <w:wordWrap w:val="0"/>
              <w:overflowPunct w:val="0"/>
              <w:topLinePunct w:val="0"/>
              <w:autoSpaceDE/>
              <w:autoSpaceDN/>
              <w:bidi w:val="0"/>
              <w:adjustRightInd w:val="0"/>
              <w:snapToGrid w:val="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4.效益性（20%）：预期降尘效果显著，能推动道路尘负荷与尘土残存量指标同步优化，减少道路扬尘对大气环境的影响，兼顾经济与社会效益。</w:t>
            </w:r>
          </w:p>
        </w:tc>
      </w:tr>
      <w:tr w14:paraId="212026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B5ABBA2">
            <w:pPr>
              <w:keepNext w:val="0"/>
              <w:keepLines w:val="0"/>
              <w:pageBreakBefore w:val="0"/>
              <w:widowControl w:val="0"/>
              <w:kinsoku/>
              <w:wordWrap w:val="0"/>
              <w:overflowPunct w:val="0"/>
              <w:topLinePunct w:val="0"/>
              <w:autoSpaceDE/>
              <w:autoSpaceDN/>
              <w:bidi w:val="0"/>
              <w:adjustRightInd w:val="0"/>
              <w:snapToGrid w:val="0"/>
              <w:spacing w:line="240" w:lineRule="auto"/>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E10A876">
            <w:pPr>
              <w:keepNext w:val="0"/>
              <w:keepLines w:val="0"/>
              <w:pageBreakBefore w:val="0"/>
              <w:widowControl w:val="0"/>
              <w:kinsoku/>
              <w:wordWrap w:val="0"/>
              <w:overflowPunct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参赛团队可申请实地调研环卫作业场景，</w:t>
            </w:r>
            <w:r>
              <w:rPr>
                <w:rFonts w:hint="eastAsia" w:ascii="仿宋_GB2312" w:hAnsi="仿宋_GB2312" w:eastAsia="仿宋_GB2312" w:cs="仿宋_GB2312"/>
                <w:b w:val="0"/>
                <w:bCs/>
                <w:color w:val="000000"/>
                <w:spacing w:val="6"/>
                <w:szCs w:val="28"/>
                <w:lang w:eastAsia="zh-CN"/>
              </w:rPr>
              <w:t>单位</w:t>
            </w:r>
            <w:r>
              <w:rPr>
                <w:rFonts w:hint="eastAsia" w:ascii="仿宋_GB2312" w:hAnsi="仿宋_GB2312" w:eastAsia="仿宋_GB2312" w:cs="仿宋_GB2312"/>
                <w:b w:val="0"/>
                <w:bCs/>
                <w:color w:val="000000"/>
                <w:spacing w:val="6"/>
                <w:szCs w:val="28"/>
              </w:rPr>
              <w:t>将提供必要协助；方案需避免涉及涉密信息，聚焦技术与管理创新，需充分考虑生态涵养区绿色发展要求。</w:t>
            </w:r>
          </w:p>
        </w:tc>
      </w:tr>
    </w:tbl>
    <w:p w14:paraId="1B80276B">
      <w:pPr>
        <w:keepNext w:val="0"/>
        <w:keepLines w:val="0"/>
        <w:pageBreakBefore w:val="0"/>
        <w:widowControl w:val="0"/>
        <w:kinsoku/>
        <w:wordWrap w:val="0"/>
        <w:topLinePunct w:val="0"/>
        <w:autoSpaceDE/>
        <w:autoSpaceDN/>
        <w:bidi w:val="0"/>
        <w:textAlignment w:val="auto"/>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110E4A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E7E62AF">
            <w:pPr>
              <w:keepNext w:val="0"/>
              <w:keepLines w:val="0"/>
              <w:pageBreakBefore w:val="0"/>
              <w:widowControl w:val="0"/>
              <w:kinsoku/>
              <w:wordWrap w:val="0"/>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A67943C">
            <w:pPr>
              <w:keepNext w:val="0"/>
              <w:keepLines w:val="0"/>
              <w:pageBreakBefore w:val="0"/>
              <w:widowControl w:val="0"/>
              <w:numPr>
                <w:ilvl w:val="0"/>
                <w:numId w:val="4"/>
              </w:numPr>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提供门头沟区环卫作业现场实地考察机会，安排一线技术骨干提供场景介绍与需求对接；</w:t>
            </w:r>
          </w:p>
          <w:p w14:paraId="5EF4ED88">
            <w:pPr>
              <w:keepNext w:val="0"/>
              <w:keepLines w:val="0"/>
              <w:pageBreakBefore w:val="0"/>
              <w:widowControl w:val="0"/>
              <w:numPr>
                <w:ilvl w:val="0"/>
                <w:numId w:val="4"/>
              </w:numPr>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共享区域道路尘负荷历史监测数据、作业流程规范等参考资料；</w:t>
            </w:r>
          </w:p>
          <w:p w14:paraId="746A6328">
            <w:pPr>
              <w:keepNext w:val="0"/>
              <w:keepLines w:val="0"/>
              <w:pageBreakBefore w:val="0"/>
              <w:widowControl w:val="0"/>
              <w:numPr>
                <w:ilvl w:val="0"/>
                <w:numId w:val="4"/>
              </w:numPr>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委派环卫</w:t>
            </w:r>
            <w:r>
              <w:rPr>
                <w:rFonts w:hint="eastAsia" w:ascii="仿宋_GB2312" w:hAnsi="仿宋_GB2312" w:eastAsia="仿宋_GB2312" w:cs="仿宋_GB2312"/>
                <w:b w:val="0"/>
                <w:bCs/>
                <w:color w:val="000000"/>
                <w:spacing w:val="6"/>
                <w:szCs w:val="28"/>
                <w:lang w:eastAsia="zh-CN"/>
              </w:rPr>
              <w:t>一线技术骨干</w:t>
            </w:r>
            <w:r>
              <w:rPr>
                <w:rFonts w:hint="eastAsia" w:ascii="仿宋_GB2312" w:hAnsi="仿宋_GB2312" w:eastAsia="仿宋_GB2312" w:cs="仿宋_GB2312"/>
                <w:b w:val="0"/>
                <w:bCs/>
                <w:color w:val="000000"/>
                <w:spacing w:val="6"/>
                <w:szCs w:val="28"/>
              </w:rPr>
              <w:t>组成指导团队，全程提供技术咨询与方案优化建议，落实时间为竞赛期间每月1次集中指导。</w:t>
            </w:r>
          </w:p>
        </w:tc>
      </w:tr>
      <w:tr w14:paraId="61E457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009DF84">
            <w:pPr>
              <w:keepNext w:val="0"/>
              <w:keepLines w:val="0"/>
              <w:pageBreakBefore w:val="0"/>
              <w:widowControl w:val="0"/>
              <w:kinsoku/>
              <w:wordWrap w:val="0"/>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7012C49">
            <w:pPr>
              <w:keepNext w:val="0"/>
              <w:keepLines w:val="0"/>
              <w:pageBreakBefore w:val="0"/>
              <w:widowControl w:val="0"/>
              <w:numPr>
                <w:ilvl w:val="0"/>
                <w:numId w:val="0"/>
              </w:numPr>
              <w:kinsoku/>
              <w:wordWrap w:val="0"/>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一、奖项设置</w:t>
            </w:r>
          </w:p>
          <w:p w14:paraId="233806CE">
            <w:pPr>
              <w:keepNext w:val="0"/>
              <w:keepLines w:val="0"/>
              <w:pageBreakBefore w:val="0"/>
              <w:widowControl w:val="0"/>
              <w:numPr>
                <w:ilvl w:val="0"/>
                <w:numId w:val="0"/>
              </w:numPr>
              <w:kinsoku/>
              <w:wordWrap w:val="0"/>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原则上设“擂主”团队1个，根据实际情况评出相应的特等奖、一等奖、二等奖、三等奖项目若干。</w:t>
            </w:r>
          </w:p>
          <w:p w14:paraId="61A94B13">
            <w:pPr>
              <w:keepNext w:val="0"/>
              <w:keepLines w:val="0"/>
              <w:pageBreakBefore w:val="0"/>
              <w:widowControl w:val="0"/>
              <w:numPr>
                <w:ilvl w:val="0"/>
                <w:numId w:val="0"/>
              </w:numPr>
              <w:kinsoku/>
              <w:wordWrap w:val="0"/>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二、激励措施</w:t>
            </w:r>
          </w:p>
          <w:p w14:paraId="166D98E9">
            <w:pPr>
              <w:keepNext w:val="0"/>
              <w:keepLines w:val="0"/>
              <w:pageBreakBefore w:val="0"/>
              <w:widowControl w:val="0"/>
              <w:numPr>
                <w:ilvl w:val="0"/>
                <w:numId w:val="0"/>
              </w:numPr>
              <w:kinsoku/>
              <w:wordWrap w:val="0"/>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擂主”团队成员均获门头沟区环卫中心正式就业岗位录用资格（专业适配岗位），并优先纳入重点人才培养计划；特等奖团队成员每人获3个月核心业务实习资格（含项目实操、导师带教）及求职“绿色通道”；一等奖团队成员每人获2个月专项实习资格及求职“绿色通道”；二等奖、三等奖团队成员每人获1个月实践体验资格及简历优先筛选权；所有获奖团队均可参与方案落地转化研讨，优秀成果将纳入环卫工作创新案例库推广。</w:t>
            </w:r>
          </w:p>
        </w:tc>
      </w:tr>
    </w:tbl>
    <w:p w14:paraId="593B08E3">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19905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28A6B691">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5B52DE">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有助于突破环卫道路尘负荷精准监测与差异化降尘技术瓶颈，优化尘负荷与尘土残存量协同管控路径，推动新一代信息技术与环卫装备融合创新，解决现有作业模式对重点污染区域适配性不足的问题，为城市环卫领域技术升级提供新思路，填补“一路一策”降尘作业方案的市场空白。</w:t>
            </w:r>
          </w:p>
        </w:tc>
      </w:tr>
      <w:tr w14:paraId="3A2613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8F986">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011CA">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预期成果可降低环卫作业人力物力成本，提升尘负荷与尘土残存量双重指标管控效率，推动道路扬尘排放量下降，改善区域大气环境质量与市民生活品质；同时助力提升生态涵养区城市精细化治理水平，为全国同类城市道路扬尘治理提供可复制经验，兼具显著经济与社会效益。</w:t>
            </w:r>
            <w:r>
              <w:rPr>
                <w:rFonts w:hint="eastAsia" w:ascii="仿宋_GB2312" w:hAnsi="仿宋_GB2312" w:eastAsia="仿宋_GB2312" w:cs="仿宋_GB2312"/>
                <w:b w:val="0"/>
                <w:bCs/>
                <w:color w:val="000000"/>
                <w:spacing w:val="6"/>
                <w:szCs w:val="28"/>
                <w:u w:val="none"/>
              </w:rPr>
              <w:tab/>
            </w:r>
          </w:p>
        </w:tc>
      </w:tr>
    </w:tbl>
    <w:p w14:paraId="269B161A">
      <w:pPr>
        <w:keepNext w:val="0"/>
        <w:keepLines w:val="0"/>
        <w:pageBreakBefore w:val="0"/>
        <w:widowControl w:val="0"/>
        <w:kinsoku/>
        <w:wordWrap w:val="0"/>
        <w:topLinePunct w:val="0"/>
        <w:autoSpaceDE/>
        <w:autoSpaceDN/>
        <w:bidi w:val="0"/>
        <w:textAlignment w:val="auto"/>
        <w:rPr>
          <w:rFonts w:hint="eastAsia" w:ascii="楷体_GB2312" w:hAnsi="楷体_GB2312" w:eastAsia="楷体_GB2312" w:cs="楷体_GB2312"/>
          <w:color w:val="auto"/>
        </w:rPr>
      </w:pPr>
      <w:r>
        <w:rPr>
          <w:rFonts w:hint="eastAsia" w:ascii="楷体_GB2312" w:hAnsi="楷体_GB2312" w:eastAsia="楷体_GB2312" w:cs="楷体_GB2312"/>
          <w:color w:val="auto"/>
        </w:rPr>
        <w:br w:type="page"/>
      </w:r>
    </w:p>
    <w:p w14:paraId="45A5266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6212B834">
      <w:pPr>
        <w:widowControl w:val="0"/>
        <w:tabs>
          <w:tab w:val="left" w:pos="8640"/>
        </w:tabs>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—15</w:t>
      </w:r>
    </w:p>
    <w:p w14:paraId="7F5B606B">
      <w:pPr>
        <w:keepNext w:val="0"/>
        <w:keepLines w:val="0"/>
        <w:pageBreakBefore w:val="0"/>
        <w:widowControl w:val="0"/>
        <w:tabs>
          <w:tab w:val="left" w:pos="8640"/>
        </w:tabs>
        <w:kinsoku/>
        <w:wordWrap w:val="0"/>
        <w:overflowPunct/>
        <w:topLinePunct w:val="0"/>
        <w:autoSpaceDE/>
        <w:autoSpaceDN/>
        <w:bidi w:val="0"/>
        <w:adjustRightInd w:val="0"/>
        <w:snapToGrid w:val="0"/>
        <w:spacing w:line="240" w:lineRule="auto"/>
        <w:textAlignment w:val="auto"/>
        <w:rPr>
          <w:rFonts w:ascii="方正黑体简体" w:eastAsia="方正黑体简体"/>
          <w:bCs/>
          <w:color w:val="auto"/>
          <w:spacing w:val="6"/>
          <w:sz w:val="21"/>
          <w:szCs w:val="21"/>
        </w:rPr>
      </w:pPr>
    </w:p>
    <w:p w14:paraId="02598446">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3FAB0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4ED1F593">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758F46D4">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rPr>
              <w:t>北京市公安局公安交通管理局通州交通支队</w:t>
            </w:r>
          </w:p>
        </w:tc>
      </w:tr>
      <w:tr w14:paraId="7CB0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1E3333F6">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7A211859">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国家行政机关</w:t>
            </w:r>
          </w:p>
        </w:tc>
      </w:tr>
      <w:tr w14:paraId="207B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23D7C494">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55C0B66B">
            <w:pPr>
              <w:keepNext w:val="0"/>
              <w:keepLines w:val="0"/>
              <w:pageBreakBefore w:val="0"/>
              <w:widowControl w:val="0"/>
              <w:kinsoku/>
              <w:wordWrap w:val="0"/>
              <w:topLinePunct w:val="0"/>
              <w:autoSpaceDE/>
              <w:autoSpaceDN/>
              <w:bidi w:val="0"/>
              <w:adjustRightInd w:val="0"/>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北京市通州区运河西大街240号</w:t>
            </w:r>
          </w:p>
        </w:tc>
      </w:tr>
      <w:tr w14:paraId="32FF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0F2A71E6">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240EAD17">
            <w:pPr>
              <w:keepNext w:val="0"/>
              <w:keepLines w:val="0"/>
              <w:pageBreakBefore w:val="0"/>
              <w:widowControl w:val="0"/>
              <w:kinsoku/>
              <w:wordWrap w:val="0"/>
              <w:topLinePunct w:val="0"/>
              <w:autoSpaceDE/>
              <w:autoSpaceDN/>
              <w:bidi w:val="0"/>
              <w:adjustRightInd w:val="0"/>
              <w:snapToGrid w:val="0"/>
              <w:jc w:val="both"/>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rPr>
              <w:t>北京市公安局交通管理局通州交通管理支队坐落于通州区运河西大街240号，是北京市通州区道路交通管理核心机构。支队承担通州区全域交通秩序管控、交通事故处理与预防、交通安全宣传及交通安保等核心工作，下设5个大队及多个执法、事故处理等室，构建全域交管执法服务体系。支队深耕精细化治理，优化重点路口交通组织、推进隐患点位治理，创新警医联动急救机制、推行校园周边“一校一策”治理模式，持续完善交通管理举措，全力保障城市副中心道路交通通行安全、有序、畅通。</w:t>
            </w:r>
          </w:p>
        </w:tc>
      </w:tr>
      <w:tr w14:paraId="3D6E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1E051FE7">
            <w:pPr>
              <w:keepNext w:val="0"/>
              <w:keepLines w:val="0"/>
              <w:pageBreakBefore w:val="0"/>
              <w:widowControl w:val="0"/>
              <w:kinsoku/>
              <w:wordWrap w:val="0"/>
              <w:topLinePunct w:val="0"/>
              <w:autoSpaceDE/>
              <w:autoSpaceDN/>
              <w:bidi w:val="0"/>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7DFFBA01">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李宇琦</w:t>
            </w:r>
          </w:p>
        </w:tc>
        <w:tc>
          <w:tcPr>
            <w:tcW w:w="1073" w:type="dxa"/>
            <w:vAlign w:val="center"/>
          </w:tcPr>
          <w:p w14:paraId="26A77458">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40927B8F">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rPr>
            </w:pPr>
            <w:r>
              <w:rPr>
                <w:rFonts w:hint="eastAsia" w:ascii="Times New Roman" w:hAnsi="Times New Roman" w:eastAsia="方正仿宋简体" w:cs="Times New Roman"/>
                <w:color w:val="auto"/>
              </w:rPr>
              <w:t>警务技术四级主管</w:t>
            </w:r>
          </w:p>
        </w:tc>
      </w:tr>
      <w:tr w14:paraId="6C808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3A8F2819">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6330F07B">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Times New Roman" w:hAnsi="Times New Roman" w:eastAsia="方正仿宋简体" w:cs="Times New Roman"/>
                <w:color w:val="auto"/>
                <w:lang w:val="en-US" w:eastAsia="zh-CN"/>
              </w:rPr>
              <w:t>17801160081</w:t>
            </w:r>
          </w:p>
        </w:tc>
        <w:tc>
          <w:tcPr>
            <w:tcW w:w="1073" w:type="dxa"/>
            <w:vAlign w:val="center"/>
          </w:tcPr>
          <w:p w14:paraId="21684DAB">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24A19611">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rPr>
            </w:pPr>
            <w:r>
              <w:rPr>
                <w:rFonts w:hint="eastAsia" w:ascii="Times New Roman" w:hAnsi="Times New Roman" w:eastAsia="方正仿宋简体" w:cs="Times New Roman"/>
                <w:color w:val="auto"/>
              </w:rPr>
              <w:t>17801160081</w:t>
            </w:r>
          </w:p>
        </w:tc>
      </w:tr>
    </w:tbl>
    <w:p w14:paraId="5A0EE084">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1DC6DE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475F3BD">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39507E1">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val="en-US" w:eastAsia="zh-CN"/>
              </w:rPr>
              <w:t>数脉：高保真交通全景生成与全域智能信控系统实践</w:t>
            </w:r>
          </w:p>
        </w:tc>
      </w:tr>
      <w:tr w14:paraId="5E2796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3CC5380">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96BC6AE">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val="en-US" w:eastAsia="zh-CN"/>
              </w:rPr>
              <w:t>人工智能</w:t>
            </w:r>
          </w:p>
        </w:tc>
      </w:tr>
      <w:tr w14:paraId="556097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8CA3F60">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4239AC7">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在城市交通治理由“单点智能”向“区域协同”演进的背景下，路口信控对数据完整性与可验证性提出更高要求。其一，受制于感知设备覆盖不足，部分路口数据缺失严重，形成“有数据可精细治理、无数据难以决策”的结构性矛盾。其二，由于缺乏全域高保真数据与仿真环境，信控策略在落地前难以充分验证，试错成本高、风险大，区域协同优化往往依赖经验，缺乏科学支撑。</w:t>
            </w:r>
          </w:p>
          <w:p w14:paraId="70100440">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本命题拟建设“数脉”系统——以高保真交通全景生成为核心的全域智能信控与决策系统。一方面，通过具备时空异质性建模与复杂分布模拟能力的生成式模型，充分挖掘已覆盖路口的稀疏观测数据及其时空关联，补全未覆盖或低质量路口的关键指标，形成全域交通运行全景。另一方面，依托全景数据构建覆盖单点、干线与区域的多层级信控推演与自适应优化机制，形成“数据驱动—虚拟验证—策略迭代”的决策闭环，实现低成本、低风险的区域效能提升。</w:t>
            </w:r>
          </w:p>
          <w:p w14:paraId="3C8E4099">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rPr>
              <w:t>在此基础上，系统进一步具备微观实体级治理能力，面向无牌/临牌车辆、渣土车等特种车队及非标车辆，构建基于视觉特征的广域循迹、聚类与画像分析体系，实现“宏观保畅通、微观强治理”。系统将集成全景生成、信控优化、仿真推演、辅助决策与特征车辆精准治理能力，推动交通治理由事后处置向事前预防和过程管控转变。</w:t>
            </w:r>
          </w:p>
        </w:tc>
      </w:tr>
      <w:tr w14:paraId="338A76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E20F71F">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A2001B1">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1.  参赛者应聚焦交通领域，围绕路口信控数据缺失、区域信控协同不足与决策难以验证等现实问题，构建一套集数据生成补全、仿真推演、策略优化与辅助决策于一体的系统，实现对交通运行问题的分析、预测与预防。</w:t>
            </w:r>
          </w:p>
          <w:p w14:paraId="0194EE92">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2.  作品需要体现生成式人工智能技术与智慧交通的深度融合，能够清晰阐述高保真交通全景生成模型在路口关键指标补全中的作用机制与价值，包括但不限于对路口流量、转向比等指标的生成补全，以及对全域高保真交通全景构建的支撑作用。</w:t>
            </w:r>
          </w:p>
          <w:p w14:paraId="17CF5D99">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3.  作品需要体现仿真推演与策略优化的闭环能力。应在仿真环境中对信控策略进行评估与迭代，强化学习优化需至少覆盖单点、条线、整面三个层级中的两个层级，并能够说明各层级之间的协同关系与优化目标。</w:t>
            </w:r>
          </w:p>
          <w:p w14:paraId="101595FB">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4.  作品必须包含特征车辆全链路追踪与分析能力，并覆盖以下三类车辆与对应要求：</w:t>
            </w:r>
          </w:p>
          <w:p w14:paraId="24E66755">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（1）临牌车。能够识别临时牌照或无稳定长期牌照车辆，并以车辆重识别为核心实现跨镜关联，对每一辆此类车辆输出其出现点位与出现历史。</w:t>
            </w:r>
          </w:p>
          <w:p w14:paraId="11BC6BAA">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（2）渣土车。仅依靠车辆前部证件或标识信息完成车队归属识别，并对车辆进行车队归类与统计分析。</w:t>
            </w:r>
          </w:p>
          <w:p w14:paraId="0E0154CD">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3）残疾人三轮车。需同时具备三项能力：一是车辆重识别实现无牌车辆的唯一性识别与跨镜检索；二是文字识别实现基于关键词的图像检索与车队聚类（例如检索“新航”关键词定位相关车辆集合）；三是基于目标检测方法实现残疾人标识检测，并在此基础上完成路径与聚合点分析，输出其主要通行方向、常见路线与聚集区域。</w:t>
            </w:r>
          </w:p>
          <w:p w14:paraId="3297FDDF">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5.  参赛者需提供具体的功能设计和算法描述，并对功能设计进行合理性评估，提交材料应包含但不限于作品设计报告、使用说明等文档。参赛者提交的材料原则上不予退还，请参赛者自行保存底稿。</w:t>
            </w:r>
          </w:p>
          <w:p w14:paraId="47176935">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rPr>
              <w:t>6.  作品应当传播积极的价值观，恪守道德伦理准则。参赛者应当保证作品的原创性，杜绝抄袭或剽窃他人成果的行为，严格遵守国家有关知识产权保护的规定。</w:t>
            </w:r>
          </w:p>
        </w:tc>
      </w:tr>
      <w:tr w14:paraId="5D6693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18AFD">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2588A390">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00677">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（一）基本要求</w:t>
            </w:r>
          </w:p>
          <w:p w14:paraId="6A30664D">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（1）研究思路逻辑严密，技术路线科学可行；</w:t>
            </w:r>
          </w:p>
          <w:p w14:paraId="070EDD64">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（2）作品需精准触达全域信控中的感知盲区补全、非结构化目标治理等核心业务场景，且技术手段与命题需求高度对标 ；</w:t>
            </w:r>
          </w:p>
          <w:p w14:paraId="3AEF3B36">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（3）展示材料完整规范，数据来源真实可靠，论证过程清晰，能够体现“数据—模拟—决策—治理”的系统闭环。</w:t>
            </w:r>
          </w:p>
          <w:p w14:paraId="3B008728">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（二）优选要求</w:t>
            </w:r>
          </w:p>
          <w:p w14:paraId="65F90DFE">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（1） 完整性：30 分。</w:t>
            </w:r>
          </w:p>
          <w:p w14:paraId="65AF5D87">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按照作品提交材料的完整性、系统开发完成度两个方面评定。</w:t>
            </w:r>
          </w:p>
          <w:p w14:paraId="2D3F63CB">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参赛作品应形成闭环：能够完成路口关键指标的生成补全，能够在仿真环境中完成信控策略推演评估与优化迭代，并实现三类特征车辆的识别、检索、追踪与分析输出。只实现部分要求的作品根据实际情况给予评定，最多不超过 20 分。</w:t>
            </w:r>
          </w:p>
          <w:p w14:paraId="2E3ED6A8">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（2）创新性：20 分。</w:t>
            </w:r>
          </w:p>
          <w:p w14:paraId="796B3BA7">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参赛作品创新性突出，与行业成熟方案相比较有差异化得 10 分。</w:t>
            </w:r>
          </w:p>
          <w:p w14:paraId="2F204D12">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能够体现生成式人工智能在高保真全景生成与全域信控优化中的优势，并在车辆实体一致性识别、文字检索与标识检测融合等方面具有明确创新点得 10 分。</w:t>
            </w:r>
          </w:p>
          <w:p w14:paraId="194CAD05">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（3）技术深度与数据关联分析： 20 分。</w:t>
            </w:r>
          </w:p>
          <w:p w14:paraId="1C3D6C52">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参赛作品应基于真实数据实现多源数据整合，并进行关联性分析。能够形成可解释的关联逻辑、可复核的分析结果，并对关键影响因素给出合理说明得 20 分，部分达成则根据实际情况给予评定，最多不超过 10 分。</w:t>
            </w:r>
          </w:p>
          <w:p w14:paraId="038C7B66">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（4）仿真决策能力： 10 分。</w:t>
            </w:r>
          </w:p>
          <w:p w14:paraId="4A8D8A17">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参赛作品能实现对真实交通场景的仿真模拟，并可在仿真空间中开展策略试错评估与效果推演，为预防性决策提供依据者给予相应评分。</w:t>
            </w:r>
          </w:p>
          <w:p w14:paraId="47F61BD5">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（5）应用价值：20 分。</w:t>
            </w:r>
          </w:p>
          <w:p w14:paraId="389EABD3">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按照作品设计方案，以实际效果和应用价值进行评定。重点考察成果可复用性、社会经济效益与推广规模的可行性；能够对区域信控效率提升形成明确支撑，并对临牌车、渣土车、残疾人三轮车等精准治理形成可输出结论得 20 分 。部分达成则根据实际情况给予评定，最多不超过 10 分。</w:t>
            </w:r>
          </w:p>
        </w:tc>
      </w:tr>
      <w:tr w14:paraId="3D1E8B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E5AC7F5">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49F4C26">
            <w:pPr>
              <w:keepNext w:val="0"/>
              <w:keepLines w:val="0"/>
              <w:pageBreakBefore w:val="0"/>
              <w:widowControl w:val="0"/>
              <w:kinsoku/>
              <w:wordWrap w:val="0"/>
              <w:overflowPunct w:val="0"/>
              <w:topLinePunct w:val="0"/>
              <w:autoSpaceDE/>
              <w:autoSpaceDN/>
              <w:bidi w:val="0"/>
              <w:adjustRightInd w:val="0"/>
              <w:snapToGrid w:val="0"/>
              <w:ind w:firstLine="480" w:firstLineChars="200"/>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color w:val="000000"/>
                <w:u w:val="none"/>
                <w:lang w:val="en-US" w:eastAsia="zh-CN"/>
              </w:rPr>
              <w:t>无。</w:t>
            </w:r>
          </w:p>
        </w:tc>
      </w:tr>
    </w:tbl>
    <w:p w14:paraId="195858FA">
      <w:pPr>
        <w:keepNext w:val="0"/>
        <w:keepLines w:val="0"/>
        <w:pageBreakBefore w:val="0"/>
        <w:widowControl w:val="0"/>
        <w:kinsoku/>
        <w:wordWrap w:val="0"/>
        <w:topLinePunct w:val="0"/>
        <w:autoSpaceDE/>
        <w:autoSpaceDN/>
        <w:bidi w:val="0"/>
        <w:rPr>
          <w:rFonts w:hint="eastAsia" w:ascii="方正黑体简体" w:eastAsia="方正黑体简体"/>
          <w:bCs/>
          <w:color w:val="auto"/>
          <w:spacing w:val="6"/>
          <w:sz w:val="32"/>
          <w:szCs w:val="32"/>
        </w:rPr>
      </w:pPr>
      <w:r>
        <w:rPr>
          <w:rFonts w:hint="eastAsia" w:ascii="方正黑体简体" w:eastAsia="方正黑体简体"/>
          <w:bCs/>
          <w:color w:val="auto"/>
          <w:spacing w:val="6"/>
          <w:sz w:val="32"/>
          <w:szCs w:val="32"/>
        </w:rPr>
        <w:br w:type="page"/>
      </w:r>
    </w:p>
    <w:p w14:paraId="512B22B1">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4D6625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E185AEF">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highlight w:val="none"/>
                <w:lang w:val="en-US" w:eastAsia="zh-CN"/>
              </w:rPr>
              <w:t>保障</w:t>
            </w:r>
            <w:r>
              <w:rPr>
                <w:rFonts w:hint="eastAsia" w:ascii="楷体_GB2312" w:hAnsi="楷体_GB2312" w:eastAsia="楷体_GB2312" w:cs="楷体_GB2312"/>
                <w:b w:val="0"/>
                <w:color w:val="000000"/>
                <w:sz w:val="28"/>
                <w:szCs w:val="28"/>
                <w:highlight w:val="none"/>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68B58D8">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本单位为参赛团队提供全方位的指导与支持，具体措施如下：</w:t>
            </w:r>
          </w:p>
          <w:p w14:paraId="6A2AD59A">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1.</w:t>
            </w:r>
            <w:r>
              <w:rPr>
                <w:rFonts w:hint="eastAsia" w:ascii="仿宋_GB2312" w:hAnsi="仿宋_GB2312" w:eastAsia="仿宋_GB2312" w:cs="仿宋_GB2312"/>
                <w:b w:val="0"/>
                <w:bCs/>
                <w:color w:val="000000"/>
                <w:spacing w:val="6"/>
                <w:szCs w:val="28"/>
                <w:lang w:val="en-US"/>
              </w:rPr>
              <w:t>配备专项沟通人员：本单位将指派具有丰富经验的智慧城市领域专家作为沟通专员。他们将针对技术、业务和创新等方面与参赛团队进行沟通，并在项目开发过程中给予必要的支持与建议。</w:t>
            </w:r>
          </w:p>
          <w:p w14:paraId="1F38807F">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2.</w:t>
            </w:r>
            <w:r>
              <w:rPr>
                <w:rFonts w:hint="eastAsia" w:ascii="仿宋_GB2312" w:hAnsi="仿宋_GB2312" w:eastAsia="仿宋_GB2312" w:cs="仿宋_GB2312"/>
                <w:b w:val="0"/>
                <w:bCs/>
                <w:color w:val="000000"/>
                <w:spacing w:val="6"/>
                <w:szCs w:val="28"/>
                <w:lang w:val="en-US"/>
              </w:rPr>
              <w:t>产教融合推进：本单位将与高等院校、研究机构合作，开设相关课题，开展生成式人工智能、智慧交通领域研究。鼓励学生参与实际项目，通过实习和实践提升技能。</w:t>
            </w:r>
          </w:p>
          <w:p w14:paraId="634FD390">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3.</w:t>
            </w:r>
            <w:r>
              <w:rPr>
                <w:rFonts w:hint="eastAsia" w:ascii="仿宋_GB2312" w:hAnsi="仿宋_GB2312" w:eastAsia="仿宋_GB2312" w:cs="仿宋_GB2312"/>
                <w:b w:val="0"/>
                <w:bCs/>
                <w:color w:val="000000"/>
                <w:spacing w:val="6"/>
                <w:szCs w:val="28"/>
                <w:lang w:val="en-US"/>
              </w:rPr>
              <w:t>制定扶持方案：制定方案鼓励智能信控系统的发展，确保方案落到实处，为开发者提供实际的支持。</w:t>
            </w:r>
          </w:p>
          <w:p w14:paraId="3166E02D">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p>
          <w:p w14:paraId="760C3FEA">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为确保指导帮助的实效性，本单位将采取以下落实措施：</w:t>
            </w:r>
          </w:p>
          <w:p w14:paraId="463146F9">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1.</w:t>
            </w:r>
            <w:r>
              <w:rPr>
                <w:rFonts w:hint="eastAsia" w:ascii="仿宋_GB2312" w:hAnsi="仿宋_GB2312" w:eastAsia="仿宋_GB2312" w:cs="仿宋_GB2312"/>
                <w:b w:val="0"/>
                <w:bCs/>
                <w:color w:val="000000"/>
                <w:spacing w:val="6"/>
                <w:szCs w:val="28"/>
                <w:lang w:val="en-US"/>
              </w:rPr>
              <w:t>时间安排：本单位将与参赛团队协商确定具体的时间计划，确保各项指导活动有序进行。</w:t>
            </w:r>
          </w:p>
          <w:p w14:paraId="7C72444A">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rPr>
              <w:t>2 . 沟通渠道建立：本单位将建立有效的沟通渠道，确保指导和支持的顺畅交流。</w:t>
            </w:r>
          </w:p>
        </w:tc>
      </w:tr>
      <w:tr w14:paraId="166C96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D88E95D">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DAB04C7">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一、奖项设置</w:t>
            </w:r>
          </w:p>
          <w:p w14:paraId="5E74F2A6">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原则上设“擂主”团队1个，根据实际情况评出相应的特等奖、一等奖、二等奖、三等奖项目若干。</w:t>
            </w:r>
          </w:p>
          <w:p w14:paraId="76BD5304">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二、激励措施</w:t>
            </w:r>
          </w:p>
          <w:p w14:paraId="0BCD567E">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Cs/>
                <w:color w:val="000000"/>
                <w:spacing w:val="6"/>
                <w:szCs w:val="28"/>
                <w:lang w:val="en-US"/>
              </w:rPr>
              <w:t>研究成果如具有在本单位实践应用的价值，则获奖团队成员在本单位实习生或应届生招聘时， 同等条件下可优先录用。“ 擂主”团队成员在同等条件下，可通过实习生“绿色通道”直接获得正式工作机会。</w:t>
            </w:r>
          </w:p>
        </w:tc>
      </w:tr>
    </w:tbl>
    <w:p w14:paraId="5DBAF071">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3CE33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2C5DFB3">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F9A6E">
            <w:pPr>
              <w:overflowPunct w:val="0"/>
              <w:adjustRightInd w:val="0"/>
              <w:snapToGrid w:val="0"/>
              <w:ind w:firstLine="506" w:firstLineChars="200"/>
              <w:rPr>
                <w:rFonts w:hint="eastAsia" w:ascii="仿宋_GB2312" w:hAnsi="仿宋_GB2312" w:eastAsia="仿宋_GB2312" w:cs="仿宋_GB2312"/>
                <w:b w:val="0"/>
                <w:bCs/>
                <w:color w:val="000000"/>
                <w:spacing w:val="6"/>
                <w:szCs w:val="28"/>
                <w:u w:val="none"/>
                <w:lang w:eastAsia="zh-CN"/>
              </w:rPr>
            </w:pPr>
            <w:r>
              <w:rPr>
                <w:rFonts w:hint="eastAsia" w:ascii="仿宋_GB2312" w:hAnsi="仿宋_GB2312" w:eastAsia="仿宋_GB2312" w:cs="仿宋_GB2312"/>
                <w:b/>
                <w:bCs w:val="0"/>
                <w:color w:val="000000"/>
                <w:spacing w:val="6"/>
                <w:szCs w:val="28"/>
                <w:u w:val="none"/>
                <w:lang w:eastAsia="zh-CN"/>
              </w:rPr>
              <w:t>突破交通数据不完备条件下的全域感知瓶颈</w:t>
            </w:r>
            <w:r>
              <w:rPr>
                <w:rFonts w:hint="eastAsia" w:ascii="仿宋_GB2312" w:hAnsi="仿宋_GB2312" w:eastAsia="仿宋_GB2312" w:cs="仿宋_GB2312"/>
                <w:b w:val="0"/>
                <w:bCs/>
                <w:color w:val="000000"/>
                <w:spacing w:val="6"/>
                <w:szCs w:val="28"/>
                <w:u w:val="none"/>
                <w:lang w:eastAsia="zh-CN"/>
              </w:rPr>
              <w:t>：针对城市路口感知设备覆盖不足、数据质量参差不齐的问题，构建具备时空异质性建模能力的生成式交通全景模型，充分挖掘已覆盖路口的稀疏观测数据及其邻域关联关系，实现对未覆盖或低质量路口关键指标（如流量、转向比等）的高保真补全，打破“有数据才能治理”的技术约束，形成连续、完整、可信的全域交通运行画像。</w:t>
            </w:r>
          </w:p>
          <w:p w14:paraId="7482E35A">
            <w:pPr>
              <w:overflowPunct w:val="0"/>
              <w:adjustRightInd w:val="0"/>
              <w:snapToGrid w:val="0"/>
              <w:ind w:firstLine="506" w:firstLineChars="200"/>
              <w:rPr>
                <w:rFonts w:hint="eastAsia" w:ascii="仿宋_GB2312" w:hAnsi="仿宋_GB2312" w:eastAsia="仿宋_GB2312" w:cs="仿宋_GB2312"/>
                <w:b w:val="0"/>
                <w:bCs/>
                <w:color w:val="000000"/>
                <w:spacing w:val="6"/>
                <w:szCs w:val="28"/>
                <w:u w:val="none"/>
                <w:lang w:eastAsia="zh-CN"/>
              </w:rPr>
            </w:pPr>
            <w:r>
              <w:rPr>
                <w:rFonts w:hint="eastAsia" w:ascii="仿宋_GB2312" w:hAnsi="仿宋_GB2312" w:eastAsia="仿宋_GB2312" w:cs="仿宋_GB2312"/>
                <w:b/>
                <w:bCs w:val="0"/>
                <w:color w:val="000000"/>
                <w:spacing w:val="6"/>
                <w:szCs w:val="28"/>
                <w:u w:val="none"/>
                <w:lang w:eastAsia="zh-CN"/>
              </w:rPr>
              <w:t>构建数据驱动、可验证的智能信控决策闭环</w:t>
            </w:r>
            <w:r>
              <w:rPr>
                <w:rFonts w:hint="eastAsia" w:ascii="仿宋_GB2312" w:hAnsi="仿宋_GB2312" w:eastAsia="仿宋_GB2312" w:cs="仿宋_GB2312"/>
                <w:b w:val="0"/>
                <w:bCs/>
                <w:color w:val="000000"/>
                <w:spacing w:val="6"/>
                <w:szCs w:val="28"/>
                <w:u w:val="none"/>
                <w:lang w:eastAsia="zh-CN"/>
              </w:rPr>
              <w:t>：通过全景交通数据与高保真仿真推演的深度融合，建立覆盖单点、干线及区域的多层级级联协同信控机制，实现信控策略在虚拟环境中的预演、验证与迭代优化，显著降低真实道路环境中的试错成本与风险，推动信控优化由经验驱动向科学决策、可验证优化转变。</w:t>
            </w:r>
          </w:p>
          <w:p w14:paraId="6F6FFB0C">
            <w:pPr>
              <w:overflowPunct w:val="0"/>
              <w:adjustRightInd w:val="0"/>
              <w:snapToGrid w:val="0"/>
              <w:ind w:firstLine="506" w:firstLineChars="200"/>
              <w:rPr>
                <w:rFonts w:hint="eastAsia" w:ascii="仿宋_GB2312" w:hAnsi="仿宋_GB2312" w:eastAsia="仿宋_GB2312" w:cs="仿宋_GB2312"/>
                <w:b w:val="0"/>
                <w:bCs/>
                <w:color w:val="000000"/>
                <w:spacing w:val="6"/>
                <w:szCs w:val="28"/>
                <w:u w:val="none"/>
                <w:lang w:eastAsia="zh-CN"/>
              </w:rPr>
            </w:pPr>
            <w:r>
              <w:rPr>
                <w:rFonts w:hint="eastAsia" w:ascii="仿宋_GB2312" w:hAnsi="仿宋_GB2312" w:eastAsia="仿宋_GB2312" w:cs="仿宋_GB2312"/>
                <w:b/>
                <w:bCs w:val="0"/>
                <w:color w:val="000000"/>
                <w:spacing w:val="6"/>
                <w:szCs w:val="28"/>
                <w:u w:val="none"/>
                <w:lang w:eastAsia="zh-CN"/>
              </w:rPr>
              <w:t>实现宏观调控与微观治理的协同统一</w:t>
            </w:r>
            <w:r>
              <w:rPr>
                <w:rFonts w:hint="eastAsia" w:ascii="仿宋_GB2312" w:hAnsi="仿宋_GB2312" w:eastAsia="仿宋_GB2312" w:cs="仿宋_GB2312"/>
                <w:b w:val="0"/>
                <w:bCs/>
                <w:color w:val="000000"/>
                <w:spacing w:val="6"/>
                <w:szCs w:val="28"/>
                <w:u w:val="none"/>
                <w:lang w:eastAsia="zh-CN"/>
              </w:rPr>
              <w:t>：在区域级信控优化基础上，引入“微观实体级”精细化感知与分析能力，突破对车牌等单一结构化标识的依赖，构建基于视觉特征的一致性循迹与画像分析技术体系，实现对临牌/无牌车辆、特种车队及非标车辆的精准识别、轨迹还原与行为分析，形成宏观保通效率与微观强治理并行的技术框架。</w:t>
            </w:r>
          </w:p>
          <w:p w14:paraId="11628490">
            <w:pPr>
              <w:overflowPunct w:val="0"/>
              <w:adjustRightInd w:val="0"/>
              <w:snapToGrid w:val="0"/>
              <w:ind w:firstLine="506"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bCs w:val="0"/>
                <w:color w:val="000000"/>
                <w:spacing w:val="6"/>
                <w:szCs w:val="28"/>
                <w:u w:val="none"/>
                <w:lang w:eastAsia="zh-CN"/>
              </w:rPr>
              <w:t>推动城市交通治理技术体系的系统化升级</w:t>
            </w:r>
            <w:r>
              <w:rPr>
                <w:rFonts w:hint="eastAsia" w:ascii="仿宋_GB2312" w:hAnsi="仿宋_GB2312" w:eastAsia="仿宋_GB2312" w:cs="仿宋_GB2312"/>
                <w:b w:val="0"/>
                <w:bCs/>
                <w:color w:val="000000"/>
                <w:spacing w:val="6"/>
                <w:szCs w:val="28"/>
                <w:u w:val="none"/>
                <w:lang w:eastAsia="zh-CN"/>
              </w:rPr>
              <w:t>：本系统集成全景生成、信控优化、仿真推演、车辆追踪与辅助决策等多项关键技术，形成面向真实复杂交通场景的系统性解决方案，为新一代智能交通治理平台提供可复制、可扩展的技术路径。</w:t>
            </w:r>
          </w:p>
        </w:tc>
      </w:tr>
      <w:tr w14:paraId="6AA868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06762">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76CF6">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本系统通过构建全域高保真的交通运行全景和可验证的智能信控决策体系，可有效提升城市道路通行效率和区域交通运行稳定性，缓解由信号失调和局部拥堵引发的连锁交通问题，降低车辆延误和无效等待时间，显著改善公众出行体验。在信控策略实施前引入虚拟推演与效果预验证机制，有助于减少真实道路环境中的反复试错和人为调优成本，降低交通治理风险，提高交通管理决策的科学性与可控性。同时，系统面向无牌、临牌、特种车辆及非标车辆等交通治理难点，提供精准识别、轨迹还原与行为分析能力，为重点区域监管和源头治理提供量化支撑，提升执法精准度和交通秩序治理水平。通过推动交通治理由事后处置向事前预防和过程管控转变，本系统将整体提升城市精细化治理能力与运行韧性，并为智慧交通与智慧城市建设提供关键技术支撑，促进交通数据要素价值释放，具有显著的社会效益和良好的推广应用前景。</w:t>
            </w:r>
          </w:p>
        </w:tc>
      </w:tr>
    </w:tbl>
    <w:p w14:paraId="2E8AF37D">
      <w:pPr>
        <w:keepNext w:val="0"/>
        <w:keepLines w:val="0"/>
        <w:pageBreakBefore w:val="0"/>
        <w:widowControl w:val="0"/>
        <w:kinsoku/>
        <w:wordWrap w:val="0"/>
        <w:topLinePunct w:val="0"/>
        <w:autoSpaceDE/>
        <w:autoSpaceDN/>
        <w:bidi w:val="0"/>
        <w:rPr>
          <w:rFonts w:hint="eastAsia" w:ascii="楷体_GB2312" w:hAnsi="楷体_GB2312" w:eastAsia="楷体_GB2312" w:cs="楷体_GB2312"/>
          <w:color w:val="auto"/>
        </w:rPr>
      </w:pPr>
      <w:r>
        <w:rPr>
          <w:rFonts w:hint="eastAsia" w:ascii="楷体_GB2312" w:hAnsi="楷体_GB2312" w:eastAsia="楷体_GB2312" w:cs="楷体_GB2312"/>
          <w:color w:val="auto"/>
        </w:rPr>
        <w:br w:type="page"/>
      </w:r>
    </w:p>
    <w:p w14:paraId="0A3308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74B53489">
      <w:pPr>
        <w:widowControl w:val="0"/>
        <w:tabs>
          <w:tab w:val="left" w:pos="8640"/>
        </w:tabs>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—16</w:t>
      </w:r>
    </w:p>
    <w:p w14:paraId="22AAEBBE">
      <w:pPr>
        <w:keepNext w:val="0"/>
        <w:keepLines w:val="0"/>
        <w:pageBreakBefore w:val="0"/>
        <w:widowControl w:val="0"/>
        <w:tabs>
          <w:tab w:val="left" w:pos="8640"/>
        </w:tabs>
        <w:kinsoku/>
        <w:wordWrap w:val="0"/>
        <w:overflowPunct/>
        <w:topLinePunct w:val="0"/>
        <w:autoSpaceDE/>
        <w:autoSpaceDN/>
        <w:bidi w:val="0"/>
        <w:adjustRightInd w:val="0"/>
        <w:snapToGrid w:val="0"/>
        <w:spacing w:line="240" w:lineRule="auto"/>
        <w:textAlignment w:val="auto"/>
        <w:rPr>
          <w:rFonts w:ascii="方正黑体简体" w:eastAsia="方正黑体简体"/>
          <w:bCs/>
          <w:color w:val="auto"/>
          <w:spacing w:val="6"/>
          <w:sz w:val="21"/>
          <w:szCs w:val="21"/>
        </w:rPr>
      </w:pPr>
    </w:p>
    <w:p w14:paraId="5A773AF0">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4946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0126AA4F">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62A7DF0A">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共青团北京市昌平区委员会</w:t>
            </w:r>
          </w:p>
        </w:tc>
      </w:tr>
      <w:tr w14:paraId="58EF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D352DE2">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22D991F6">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各区政府及委办局</w:t>
            </w:r>
          </w:p>
        </w:tc>
      </w:tr>
      <w:tr w14:paraId="4FD37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275DE682">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355F88D6">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北京市昌平区政府街19号</w:t>
            </w:r>
          </w:p>
        </w:tc>
      </w:tr>
      <w:tr w14:paraId="1621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2" w:hRule="atLeast"/>
          <w:jc w:val="center"/>
        </w:trPr>
        <w:tc>
          <w:tcPr>
            <w:tcW w:w="1668" w:type="dxa"/>
            <w:vAlign w:val="center"/>
          </w:tcPr>
          <w:p w14:paraId="7EF2A703">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14DDB401">
            <w:pPr>
              <w:keepNext w:val="0"/>
              <w:keepLines w:val="0"/>
              <w:pageBreakBefore w:val="0"/>
              <w:widowControl w:val="0"/>
              <w:kinsoku/>
              <w:wordWrap w:val="0"/>
              <w:topLinePunct w:val="0"/>
              <w:autoSpaceDE/>
              <w:autoSpaceDN/>
              <w:bidi w:val="0"/>
              <w:adjustRightInd w:val="0"/>
              <w:snapToGrid w:val="0"/>
              <w:ind w:firstLine="480" w:firstLineChars="200"/>
              <w:jc w:val="both"/>
              <w:rPr>
                <w:rFonts w:hint="eastAsia" w:ascii="仿宋_GB2312" w:hAnsi="仿宋_GB2312" w:eastAsia="仿宋_GB2312" w:cs="仿宋_GB2312"/>
                <w:bCs/>
                <w:color w:val="auto"/>
                <w:spacing w:val="6"/>
                <w:szCs w:val="28"/>
              </w:rPr>
            </w:pPr>
            <w:r>
              <w:rPr>
                <w:rFonts w:hint="eastAsia" w:ascii="仿宋_GB2312" w:hAnsi="仿宋_GB2312" w:eastAsia="仿宋_GB2312" w:cs="仿宋_GB2312"/>
                <w:color w:val="auto"/>
                <w:lang w:val="en-US" w:eastAsia="zh-CN"/>
              </w:rPr>
              <w:t>作为共青团的基层组织，下设办公室、组宣部、志愿服务指导中心等职能部门，同时管辖着区内各街道、镇、企业等基层团组织，形成了覆盖广泛的组织网络，围绕青少年思想引领、共青团基层组织建设、青少年权益、志愿服务、青年联合会、青年汇等方面开展活动，服务广大青少年成长成才。</w:t>
            </w:r>
          </w:p>
        </w:tc>
      </w:tr>
      <w:tr w14:paraId="7AA7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0E3D5523">
            <w:pPr>
              <w:keepNext w:val="0"/>
              <w:keepLines w:val="0"/>
              <w:pageBreakBefore w:val="0"/>
              <w:widowControl w:val="0"/>
              <w:kinsoku/>
              <w:wordWrap w:val="0"/>
              <w:topLinePunct w:val="0"/>
              <w:autoSpaceDE/>
              <w:autoSpaceDN/>
              <w:bidi w:val="0"/>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59F04C17">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徐思涵</w:t>
            </w:r>
          </w:p>
        </w:tc>
        <w:tc>
          <w:tcPr>
            <w:tcW w:w="1073" w:type="dxa"/>
            <w:vAlign w:val="center"/>
          </w:tcPr>
          <w:p w14:paraId="382C0051">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67CB2799">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lang w:val="en-US" w:eastAsia="zh-CN"/>
              </w:rPr>
            </w:pPr>
            <w:r>
              <w:rPr>
                <w:rFonts w:hint="eastAsia" w:ascii="仿宋_GB2312" w:hAnsi="仿宋_GB2312" w:eastAsia="仿宋_GB2312" w:cs="仿宋_GB2312"/>
                <w:bCs/>
                <w:color w:val="auto"/>
                <w:spacing w:val="6"/>
                <w:szCs w:val="28"/>
                <w:lang w:val="en-US" w:eastAsia="zh-CN"/>
              </w:rPr>
              <w:t>干部</w:t>
            </w:r>
          </w:p>
        </w:tc>
      </w:tr>
      <w:tr w14:paraId="04B8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2BB37BE1">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598B93F6">
            <w:pPr>
              <w:keepNext w:val="0"/>
              <w:keepLines w:val="0"/>
              <w:pageBreakBefore w:val="0"/>
              <w:widowControl w:val="0"/>
              <w:kinsoku/>
              <w:wordWrap w:val="0"/>
              <w:topLinePunct w:val="0"/>
              <w:autoSpaceDE/>
              <w:autoSpaceDN/>
              <w:bidi w:val="0"/>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Times New Roman" w:hAnsi="Times New Roman" w:eastAsia="仿宋_GB2312" w:cs="Times New Roman"/>
                <w:bCs/>
                <w:color w:val="auto"/>
                <w:spacing w:val="6"/>
                <w:szCs w:val="28"/>
                <w:lang w:val="en-US" w:eastAsia="zh-CN"/>
              </w:rPr>
              <w:t>13260261810</w:t>
            </w:r>
          </w:p>
        </w:tc>
        <w:tc>
          <w:tcPr>
            <w:tcW w:w="1073" w:type="dxa"/>
            <w:vAlign w:val="center"/>
          </w:tcPr>
          <w:p w14:paraId="75CD8648">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39321AB1">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rPr>
            </w:pPr>
            <w:r>
              <w:rPr>
                <w:rFonts w:hint="default" w:ascii="Times New Roman" w:hAnsi="Times New Roman" w:eastAsia="仿宋_GB2312" w:cs="Times New Roman"/>
                <w:bCs/>
                <w:color w:val="auto"/>
                <w:spacing w:val="6"/>
                <w:szCs w:val="28"/>
                <w:lang w:val="en-US" w:eastAsia="zh-CN"/>
              </w:rPr>
              <w:t>13260261810</w:t>
            </w:r>
          </w:p>
        </w:tc>
      </w:tr>
    </w:tbl>
    <w:p w14:paraId="19B2EEAA">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5056CB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6404EF7">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0C4C9AF">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color w:val="000000"/>
                <w:lang w:eastAsia="zh-CN"/>
              </w:rPr>
              <w:t>青年志愿服务组织参与社区治理的精准对接路径与</w:t>
            </w:r>
            <w:r>
              <w:rPr>
                <w:rFonts w:hint="eastAsia" w:ascii="仿宋_GB2312" w:hAnsi="仿宋_GB2312" w:eastAsia="仿宋_GB2312" w:cs="仿宋_GB2312"/>
                <w:b w:val="0"/>
                <w:color w:val="000000"/>
                <w:lang w:val="en-US" w:eastAsia="zh-CN"/>
              </w:rPr>
              <w:t xml:space="preserve">         </w:t>
            </w:r>
            <w:r>
              <w:rPr>
                <w:rFonts w:hint="eastAsia" w:ascii="仿宋_GB2312" w:hAnsi="仿宋_GB2312" w:eastAsia="仿宋_GB2312" w:cs="仿宋_GB2312"/>
                <w:b w:val="0"/>
                <w:color w:val="000000"/>
                <w:lang w:eastAsia="zh-CN"/>
              </w:rPr>
              <w:t>长效机制构建</w:t>
            </w:r>
          </w:p>
        </w:tc>
      </w:tr>
      <w:tr w14:paraId="35C955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977F125">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217CB81">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val="en-US" w:eastAsia="zh-CN"/>
              </w:rPr>
              <w:t>基层青年志愿服务</w:t>
            </w:r>
          </w:p>
        </w:tc>
      </w:tr>
      <w:tr w14:paraId="118B74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B7142EF">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D5CB8D0">
            <w:pPr>
              <w:keepNext w:val="0"/>
              <w:keepLines w:val="0"/>
              <w:pageBreakBefore w:val="0"/>
              <w:widowControl w:val="0"/>
              <w:numPr>
                <w:ilvl w:val="0"/>
                <w:numId w:val="5"/>
              </w:numPr>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val="0"/>
                <w:color w:val="000000"/>
                <w:spacing w:val="6"/>
                <w:szCs w:val="28"/>
                <w:lang w:val="en-US" w:eastAsia="zh-CN"/>
              </w:rPr>
            </w:pPr>
            <w:r>
              <w:rPr>
                <w:rFonts w:hint="eastAsia" w:ascii="仿宋_GB2312" w:hAnsi="仿宋_GB2312" w:eastAsia="仿宋_GB2312" w:cs="仿宋_GB2312"/>
                <w:b w:val="0"/>
                <w:bCs w:val="0"/>
                <w:color w:val="000000"/>
                <w:spacing w:val="6"/>
                <w:szCs w:val="28"/>
                <w:lang w:val="en-US" w:eastAsia="zh-CN"/>
              </w:rPr>
              <w:t>题目介绍：聚焦社区治理的核心痛点，探究青年志愿服务组织供给与社区需求的精准匹配路径，构建保障参与持续性的长效机制，实现志愿服务从“零散化”向“系统化”、“短期化”向“常态化”转型，助力社区治理提质增效。</w:t>
            </w:r>
          </w:p>
          <w:p w14:paraId="5855DD1C">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val="0"/>
                <w:color w:val="000000"/>
                <w:spacing w:val="6"/>
                <w:szCs w:val="28"/>
                <w:lang w:val="en-US" w:eastAsia="zh-CN"/>
              </w:rPr>
            </w:pPr>
            <w:r>
              <w:rPr>
                <w:rFonts w:hint="eastAsia" w:ascii="仿宋_GB2312" w:hAnsi="仿宋_GB2312" w:eastAsia="仿宋_GB2312" w:cs="仿宋_GB2312"/>
                <w:b w:val="0"/>
                <w:bCs w:val="0"/>
                <w:color w:val="000000"/>
                <w:spacing w:val="6"/>
                <w:szCs w:val="28"/>
                <w:lang w:val="en-US" w:eastAsia="zh-CN"/>
              </w:rPr>
              <w:t>2.背景：政策推动基层治理现代化，社区治理对多元力量需求迫切。昌平区青年志愿服务组织资源丰富，但当前存在供需错位、对接不畅等问题，难以充分发挥效能，亟需科学路径与机制破解困境。</w:t>
            </w:r>
          </w:p>
          <w:p w14:paraId="5E2FA877">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val="0"/>
                <w:color w:val="000000"/>
                <w:spacing w:val="6"/>
                <w:szCs w:val="28"/>
                <w:lang w:val="en-US" w:eastAsia="zh-CN"/>
              </w:rPr>
            </w:pPr>
            <w:r>
              <w:rPr>
                <w:rFonts w:hint="eastAsia" w:ascii="仿宋_GB2312" w:hAnsi="仿宋_GB2312" w:eastAsia="仿宋_GB2312" w:cs="仿宋_GB2312"/>
                <w:b w:val="0"/>
                <w:bCs w:val="0"/>
                <w:color w:val="000000"/>
                <w:spacing w:val="6"/>
                <w:szCs w:val="28"/>
                <w:lang w:val="en-US" w:eastAsia="zh-CN"/>
              </w:rPr>
              <w:t>3.需求：回应社区治理资源补充、志愿服务规范化发展、青年志愿服务组织实践价值实现的三重诉求，解决供需信息不对称、参与动力不足、保障体系不完善等现实问题，填补实践层面的机制空白。</w:t>
            </w:r>
          </w:p>
          <w:p w14:paraId="3CBDD1E0">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val="0"/>
                <w:color w:val="000000"/>
                <w:spacing w:val="6"/>
                <w:szCs w:val="28"/>
                <w:lang w:val="en-US" w:eastAsia="zh-CN"/>
              </w:rPr>
            </w:pPr>
            <w:r>
              <w:rPr>
                <w:rFonts w:hint="eastAsia" w:ascii="仿宋_GB2312" w:hAnsi="仿宋_GB2312" w:eastAsia="仿宋_GB2312" w:cs="仿宋_GB2312"/>
                <w:b w:val="0"/>
                <w:bCs w:val="0"/>
                <w:color w:val="000000"/>
                <w:spacing w:val="6"/>
                <w:szCs w:val="28"/>
                <w:lang w:val="en-US" w:eastAsia="zh-CN"/>
              </w:rPr>
              <w:t>4.应用：为社区、志愿组织、高校提供精准对接方案与长效运营模式，提升志愿服务针对性与持续性；助力青年志愿服务组织有序参与基层治理，增强社会责任感；推进青年志愿服务融入社区治理提供可复制、可推广的实践样本。</w:t>
            </w:r>
          </w:p>
        </w:tc>
      </w:tr>
      <w:tr w14:paraId="13AFBD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FE7BB11">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EB41FFE">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val="0"/>
                <w:color w:val="auto"/>
                <w:spacing w:val="6"/>
                <w:szCs w:val="28"/>
                <w:lang w:val="en-US" w:eastAsia="zh-CN"/>
              </w:rPr>
            </w:pPr>
            <w:r>
              <w:rPr>
                <w:rFonts w:hint="eastAsia" w:ascii="仿宋_GB2312" w:hAnsi="仿宋_GB2312" w:eastAsia="仿宋_GB2312" w:cs="仿宋_GB2312"/>
                <w:b w:val="0"/>
                <w:bCs w:val="0"/>
                <w:color w:val="auto"/>
                <w:spacing w:val="6"/>
                <w:szCs w:val="28"/>
                <w:lang w:val="en-US" w:eastAsia="zh-CN"/>
              </w:rPr>
              <w:t>1.聚焦痛点：围绕青年志愿服务组织与社区治理“供需错位、对接不畅、长效不足”核心问题，结合具体区域（如回天地区、沙河、北七家等）实践案例，用调研数据或实际场景佐证问题（如调研问卷、访谈记录、案例数据等），</w:t>
            </w:r>
            <w:r>
              <w:rPr>
                <w:rFonts w:hint="eastAsia" w:ascii="仿宋_GB2312" w:hAnsi="仿宋_GB2312" w:eastAsia="仿宋_GB2312" w:cs="仿宋_GB2312"/>
                <w:b w:val="0"/>
                <w:bCs/>
                <w:color w:val="auto"/>
                <w:spacing w:val="6"/>
                <w:szCs w:val="28"/>
              </w:rPr>
              <w:t>调研数据需真实、准确，来源可靠，具备科学性和代表性。</w:t>
            </w:r>
          </w:p>
          <w:p w14:paraId="0D62C259">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val="0"/>
                <w:color w:val="000000"/>
                <w:spacing w:val="6"/>
                <w:szCs w:val="28"/>
                <w:lang w:val="en-US" w:eastAsia="zh-CN"/>
              </w:rPr>
            </w:pPr>
            <w:r>
              <w:rPr>
                <w:rFonts w:hint="eastAsia" w:ascii="仿宋_GB2312" w:hAnsi="仿宋_GB2312" w:eastAsia="仿宋_GB2312" w:cs="仿宋_GB2312"/>
                <w:b w:val="0"/>
                <w:bCs w:val="0"/>
                <w:color w:val="000000"/>
                <w:spacing w:val="6"/>
                <w:szCs w:val="28"/>
                <w:lang w:val="en-US" w:eastAsia="zh-CN"/>
              </w:rPr>
              <w:t>2.内容核心：内容包含背景与目的、主要做法、存在问题以及对策建议等，明确3-5条可落地的精准对接路径（如“需求清单+供给清单”“校社企协同”等），构建涵盖队伍培育、项目打造、日常管理、激励保障等长效机制，突出实操流程与参与主体。</w:t>
            </w:r>
          </w:p>
          <w:p w14:paraId="5AA5E1F0">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val="0"/>
                <w:color w:val="000000"/>
                <w:spacing w:val="6"/>
                <w:szCs w:val="28"/>
                <w:lang w:val="en-US" w:eastAsia="zh-CN"/>
              </w:rPr>
            </w:pPr>
            <w:r>
              <w:rPr>
                <w:rFonts w:hint="eastAsia" w:ascii="仿宋_GB2312" w:hAnsi="仿宋_GB2312" w:eastAsia="仿宋_GB2312" w:cs="仿宋_GB2312"/>
                <w:b w:val="0"/>
                <w:bCs w:val="0"/>
                <w:color w:val="000000"/>
                <w:spacing w:val="6"/>
                <w:szCs w:val="28"/>
                <w:lang w:val="en-US" w:eastAsia="zh-CN"/>
              </w:rPr>
              <w:t>3.创新导向：需体现差异化创新（如数字技术赋能对接、特色场景服务设计等），可结合新媒体、大数据等工具提升路径与机制的实操性。体现差异化解决方案，拒绝纯理论表述。</w:t>
            </w:r>
          </w:p>
          <w:p w14:paraId="19BE1DA6">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bCs w:val="0"/>
                <w:color w:val="000000"/>
                <w:spacing w:val="6"/>
                <w:szCs w:val="28"/>
                <w:lang w:val="en-US" w:eastAsia="zh-CN"/>
              </w:rPr>
              <w:t>4.呈现规范：结构含问题分析、路径设计、机制构建、推广价值四部分，逻辑连贯，提出的方案应充分考虑实际操作和实施条件，能够在现有资源和政策框架下落地执行。</w:t>
            </w:r>
          </w:p>
        </w:tc>
      </w:tr>
      <w:tr w14:paraId="19CC0A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BB1D06">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6B0D0781">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EA2D8">
            <w:pPr>
              <w:keepNext w:val="0"/>
              <w:keepLines w:val="0"/>
              <w:pageBreakBefore w:val="0"/>
              <w:widowControl w:val="0"/>
              <w:numPr>
                <w:ilvl w:val="0"/>
                <w:numId w:val="0"/>
              </w:numPr>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1.问题精准度：是否结合昌平区具体社区场景，以真实数据或案例佐证供需错位、对接不畅等痛点，问题定位是否聚焦、无泛化表述。</w:t>
            </w:r>
          </w:p>
          <w:p w14:paraId="6313FE43">
            <w:pPr>
              <w:keepNext w:val="0"/>
              <w:keepLines w:val="0"/>
              <w:pageBreakBefore w:val="0"/>
              <w:widowControl w:val="0"/>
              <w:numPr>
                <w:ilvl w:val="0"/>
                <w:numId w:val="0"/>
              </w:numPr>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2.路径可行性：对接路径是否贴合基层实际，操作流程、责任主体、实施步骤是否明确可落地，能否快速在社区试点推行。</w:t>
            </w:r>
          </w:p>
          <w:p w14:paraId="5E5E9BED">
            <w:pPr>
              <w:keepNext w:val="0"/>
              <w:keepLines w:val="0"/>
              <w:pageBreakBefore w:val="0"/>
              <w:widowControl w:val="0"/>
              <w:numPr>
                <w:ilvl w:val="0"/>
                <w:numId w:val="0"/>
              </w:numPr>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3.机制完整性：长效机制是否涵盖</w:t>
            </w:r>
            <w:r>
              <w:rPr>
                <w:rFonts w:hint="eastAsia" w:ascii="仿宋_GB2312" w:hAnsi="仿宋_GB2312" w:eastAsia="仿宋_GB2312" w:cs="仿宋_GB2312"/>
                <w:b w:val="0"/>
                <w:bCs w:val="0"/>
                <w:color w:val="000000"/>
                <w:spacing w:val="6"/>
                <w:szCs w:val="28"/>
                <w:lang w:val="en-US" w:eastAsia="zh-CN"/>
              </w:rPr>
              <w:t>队伍培育、项目打造、日常管理、激励保障</w:t>
            </w:r>
            <w:r>
              <w:rPr>
                <w:rFonts w:hint="eastAsia" w:ascii="仿宋_GB2312" w:hAnsi="仿宋_GB2312" w:eastAsia="仿宋_GB2312" w:cs="仿宋_GB2312"/>
                <w:b w:val="0"/>
                <w:bCs/>
                <w:color w:val="000000"/>
                <w:spacing w:val="6"/>
                <w:szCs w:val="28"/>
                <w:u w:val="none"/>
                <w:lang w:val="en-US" w:eastAsia="zh-CN"/>
              </w:rPr>
              <w:t>等核心模块，是否有量化指标、政策依据，能否保障志愿服务持续参与。</w:t>
            </w:r>
          </w:p>
          <w:p w14:paraId="6CCBCD52">
            <w:pPr>
              <w:keepNext w:val="0"/>
              <w:keepLines w:val="0"/>
              <w:pageBreakBefore w:val="0"/>
              <w:widowControl w:val="0"/>
              <w:numPr>
                <w:ilvl w:val="0"/>
                <w:numId w:val="0"/>
              </w:numPr>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4.创新实用性：方案是否有差异化创新（如数字赋能、特色场景等），创新点是否服务于落地效果，而非形式化设计。</w:t>
            </w:r>
          </w:p>
          <w:p w14:paraId="035D898D">
            <w:pPr>
              <w:keepNext w:val="0"/>
              <w:keepLines w:val="0"/>
              <w:pageBreakBefore w:val="0"/>
              <w:widowControl w:val="0"/>
              <w:numPr>
                <w:ilvl w:val="0"/>
                <w:numId w:val="0"/>
              </w:numPr>
              <w:kinsoku/>
              <w:wordWrap w:val="0"/>
              <w:overflowPunct w:val="0"/>
              <w:topLinePunct w:val="0"/>
              <w:autoSpaceDE/>
              <w:autoSpaceDN/>
              <w:bidi w:val="0"/>
              <w:adjustRightInd w:val="0"/>
              <w:snapToGrid w:val="0"/>
              <w:ind w:firstLine="504" w:firstLineChars="200"/>
              <w:rPr>
                <w:rFonts w:hint="default"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5.佐证充分性：是否附社区合作意向、试点计划、数据调研等实操材料，能否支撑方案的落地可信度与推广价值。</w:t>
            </w:r>
          </w:p>
        </w:tc>
      </w:tr>
      <w:tr w14:paraId="3A5D90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FD433B1">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5B1A912">
            <w:pPr>
              <w:keepNext w:val="0"/>
              <w:keepLines w:val="0"/>
              <w:pageBreakBefore w:val="0"/>
              <w:widowControl w:val="0"/>
              <w:kinsoku/>
              <w:wordWrap w:val="0"/>
              <w:overflowPunct w:val="0"/>
              <w:topLinePunct w:val="0"/>
              <w:autoSpaceDE/>
              <w:autoSpaceDN/>
              <w:bidi w:val="0"/>
              <w:adjustRightInd w:val="0"/>
              <w:snapToGrid w:val="0"/>
              <w:ind w:firstLine="480" w:firstLineChars="200"/>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color w:val="000000"/>
                <w:u w:val="none"/>
                <w:lang w:eastAsia="zh-CN"/>
              </w:rPr>
              <w:t>无</w:t>
            </w:r>
          </w:p>
        </w:tc>
      </w:tr>
    </w:tbl>
    <w:p w14:paraId="67E48E0A">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02E5E0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FAC2CF9">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F17416F">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由昌平团区委牵头，联合相关镇街、社区、青年志愿服务组织等与揭榜高校建立常态化沟通机制，专人对接需求摸排、项目落地等工作。为高校团队提供调研、服务场地等资源支持。</w:t>
            </w:r>
          </w:p>
          <w:p w14:paraId="0ABEDBBE">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rPr>
            </w:pPr>
          </w:p>
        </w:tc>
      </w:tr>
      <w:tr w14:paraId="613C4B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C99D54B">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DE07CCF">
            <w:pPr>
              <w:keepNext w:val="0"/>
              <w:keepLines w:val="0"/>
              <w:pageBreakBefore w:val="0"/>
              <w:widowControl w:val="0"/>
              <w:numPr>
                <w:ilvl w:val="0"/>
                <w:numId w:val="0"/>
              </w:numPr>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一、奖项设置</w:t>
            </w:r>
          </w:p>
          <w:p w14:paraId="409DEA61">
            <w:pPr>
              <w:keepNext w:val="0"/>
              <w:keepLines w:val="0"/>
              <w:pageBreakBefore w:val="0"/>
              <w:widowControl w:val="0"/>
              <w:numPr>
                <w:ilvl w:val="0"/>
                <w:numId w:val="0"/>
              </w:numPr>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原则上设“擂主”团队1个，根据实际情况评出相应的特等奖、一等奖、二等奖、三等奖项目若干。</w:t>
            </w:r>
          </w:p>
          <w:p w14:paraId="4A523AFC">
            <w:pPr>
              <w:keepNext w:val="0"/>
              <w:keepLines w:val="0"/>
              <w:pageBreakBefore w:val="0"/>
              <w:widowControl w:val="0"/>
              <w:numPr>
                <w:ilvl w:val="0"/>
                <w:numId w:val="0"/>
              </w:numPr>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二、激励措施</w:t>
            </w:r>
          </w:p>
          <w:p w14:paraId="2FF86F23">
            <w:pPr>
              <w:keepNext w:val="0"/>
              <w:keepLines w:val="0"/>
              <w:pageBreakBefore w:val="0"/>
              <w:widowControl w:val="0"/>
              <w:numPr>
                <w:ilvl w:val="0"/>
                <w:numId w:val="0"/>
              </w:numPr>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1.成果转化：具有较高可行性和应用价值的获奖作品纳入昌平区青年志愿服务重点培育项目，优先对接社区试点落地，校地联合推动成果转化为区域治理实操举措。</w:t>
            </w:r>
          </w:p>
          <w:p w14:paraId="2C9DB6B9">
            <w:pPr>
              <w:keepNext w:val="0"/>
              <w:keepLines w:val="0"/>
              <w:pageBreakBefore w:val="0"/>
              <w:widowControl w:val="0"/>
              <w:numPr>
                <w:ilvl w:val="0"/>
                <w:numId w:val="0"/>
              </w:numPr>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2.人才激励：对核心成员优先推荐参与基层治理相关培训、交流活动及实习岗位对接。</w:t>
            </w:r>
          </w:p>
          <w:p w14:paraId="36864BC2">
            <w:pPr>
              <w:keepNext w:val="0"/>
              <w:keepLines w:val="0"/>
              <w:pageBreakBefore w:val="0"/>
              <w:widowControl w:val="0"/>
              <w:numPr>
                <w:ilvl w:val="0"/>
                <w:numId w:val="0"/>
              </w:numPr>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u w:val="none"/>
                <w:lang w:val="en-US" w:eastAsia="zh-CN"/>
              </w:rPr>
              <w:t>3.宣传推广：通过昌平区官方媒体、志愿平台对获奖团队及成果进行专题宣传，提升团队品牌影响力。</w:t>
            </w:r>
          </w:p>
        </w:tc>
      </w:tr>
    </w:tbl>
    <w:p w14:paraId="6CBF54EC">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731C3B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0CFD31C">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3E50C">
            <w:pPr>
              <w:adjustRightInd w:val="0"/>
              <w:snapToGrid w:val="0"/>
              <w:ind w:firstLine="504" w:firstLineChars="200"/>
              <w:jc w:val="both"/>
              <w:rPr>
                <w:rFonts w:hint="eastAsia" w:ascii="仿宋_GB2312" w:hAnsi="仿宋_GB2312" w:eastAsia="方正仿宋简体" w:cs="仿宋_GB2312"/>
                <w:b w:val="0"/>
                <w:bCs/>
                <w:color w:val="FF0000"/>
                <w:spacing w:val="6"/>
                <w:szCs w:val="28"/>
                <w:u w:val="none"/>
                <w:lang w:eastAsia="zh-CN"/>
              </w:rPr>
            </w:pPr>
            <w:r>
              <w:rPr>
                <w:rFonts w:hint="eastAsia" w:ascii="仿宋_GB2312" w:hAnsi="仿宋_GB2312" w:eastAsia="仿宋_GB2312" w:cs="仿宋_GB2312"/>
                <w:b w:val="0"/>
                <w:bCs/>
                <w:color w:val="auto"/>
                <w:spacing w:val="6"/>
                <w:szCs w:val="28"/>
                <w:lang w:val="en-US" w:eastAsia="zh-CN"/>
              </w:rPr>
              <w:t>精准破解首都社区基层治理人力不足、服务错位等痛点，激活青年志愿服务组织力量补充治理供给，通过供需精准匹配提升社区服务效能与居民获得感。同时，构建长效机制可保障青年志愿服务组织参与持续性，助力形成“组织参与、社区受益、社会共建”的治理闭环，夯实基层治理根基。引导青年志愿服务组织扎根基层、践行社会责任，凝聚首都治理青春合力，为超大城市基层治理现代化提供可复制、可推广的实践经验。</w:t>
            </w:r>
          </w:p>
        </w:tc>
      </w:tr>
      <w:tr w14:paraId="40D6AF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CCF95">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D24CF">
            <w:pPr>
              <w:overflowPunct w:val="0"/>
              <w:adjustRightInd w:val="0"/>
              <w:snapToGrid w:val="0"/>
              <w:rPr>
                <w:rFonts w:hint="eastAsia" w:ascii="仿宋_GB2312" w:hAnsi="仿宋_GB2312" w:eastAsia="仿宋_GB2312" w:cs="仿宋_GB2312"/>
                <w:b w:val="0"/>
                <w:bCs/>
                <w:color w:val="auto"/>
                <w:spacing w:val="6"/>
                <w:szCs w:val="28"/>
                <w:lang w:val="en-US" w:eastAsia="zh-CN"/>
              </w:rPr>
            </w:pPr>
            <w:r>
              <w:rPr>
                <w:rFonts w:hint="eastAsia" w:ascii="仿宋_GB2312" w:hAnsi="仿宋_GB2312" w:eastAsia="仿宋_GB2312" w:cs="仿宋_GB2312"/>
                <w:b w:val="0"/>
                <w:bCs/>
                <w:color w:val="FF0000"/>
                <w:spacing w:val="6"/>
                <w:szCs w:val="28"/>
                <w:lang w:val="en-US" w:eastAsia="zh-CN"/>
              </w:rPr>
              <w:t xml:space="preserve">  </w:t>
            </w:r>
            <w:r>
              <w:rPr>
                <w:rFonts w:hint="eastAsia" w:ascii="仿宋_GB2312" w:hAnsi="仿宋_GB2312" w:eastAsia="仿宋_GB2312" w:cs="仿宋_GB2312"/>
                <w:b w:val="0"/>
                <w:bCs/>
                <w:color w:val="auto"/>
                <w:spacing w:val="6"/>
                <w:szCs w:val="28"/>
                <w:lang w:val="en-US" w:eastAsia="zh-CN"/>
              </w:rPr>
              <w:t xml:space="preserve">  1.经济效益：提高青年志愿服务组织积极性，以志愿服务补充社区治理人力、服务资源，降低社区治理市场化服务采购成本，实现治理资源高效配置；依托校社协同模式带动青年志愿服务场景化创新，培育区域志愿服务特色品牌，间接助力社区服务产业低成本提质。</w:t>
            </w:r>
          </w:p>
          <w:p w14:paraId="30C6ACEE">
            <w:pPr>
              <w:overflowPunct w:val="0"/>
              <w:adjustRightInd w:val="0"/>
              <w:snapToGrid w:val="0"/>
              <w:rPr>
                <w:rFonts w:hint="eastAsia" w:ascii="仿宋_GB2312" w:hAnsi="仿宋_GB2312" w:eastAsia="仿宋_GB2312" w:cs="仿宋_GB2312"/>
                <w:b w:val="0"/>
                <w:bCs/>
                <w:color w:val="FF0000"/>
                <w:spacing w:val="6"/>
                <w:szCs w:val="28"/>
                <w:u w:val="none"/>
              </w:rPr>
            </w:pPr>
            <w:r>
              <w:rPr>
                <w:rFonts w:hint="eastAsia" w:ascii="仿宋_GB2312" w:hAnsi="仿宋_GB2312" w:eastAsia="仿宋_GB2312" w:cs="仿宋_GB2312"/>
                <w:b w:val="0"/>
                <w:bCs/>
                <w:color w:val="auto"/>
                <w:spacing w:val="6"/>
                <w:szCs w:val="28"/>
                <w:lang w:val="en-US" w:eastAsia="zh-CN"/>
              </w:rPr>
              <w:t xml:space="preserve">    2.社会效益：精准对接社区养老、托育等民生需求，提升居民幸福感与社区凝聚力；为青年志愿服务组织搭建基层实践平台，强化社会责任感与服务意识；激活社区治理内生动力，形成可复制的青年志愿服务组织参与社区治理实践经验，为市域基层治理提质增效提供青春支撑。</w:t>
            </w:r>
          </w:p>
        </w:tc>
      </w:tr>
    </w:tbl>
    <w:p w14:paraId="3BDDA9BD">
      <w:pPr>
        <w:keepNext w:val="0"/>
        <w:keepLines w:val="0"/>
        <w:pageBreakBefore w:val="0"/>
        <w:widowControl w:val="0"/>
        <w:kinsoku/>
        <w:wordWrap w:val="0"/>
        <w:topLinePunct w:val="0"/>
        <w:autoSpaceDE/>
        <w:autoSpaceDN/>
        <w:bidi w:val="0"/>
        <w:rPr>
          <w:rFonts w:hint="eastAsia" w:ascii="楷体_GB2312" w:hAnsi="楷体_GB2312" w:eastAsia="楷体_GB2312" w:cs="楷体_GB2312"/>
          <w:color w:val="auto"/>
        </w:rPr>
      </w:pPr>
      <w:r>
        <w:rPr>
          <w:rFonts w:hint="eastAsia" w:ascii="楷体_GB2312" w:hAnsi="楷体_GB2312" w:eastAsia="楷体_GB2312" w:cs="楷体_GB2312"/>
          <w:color w:val="auto"/>
        </w:rPr>
        <w:br w:type="page"/>
      </w:r>
    </w:p>
    <w:p w14:paraId="28C3C4E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56FF1C80">
      <w:pPr>
        <w:widowControl w:val="0"/>
        <w:tabs>
          <w:tab w:val="left" w:pos="8640"/>
        </w:tabs>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—17</w:t>
      </w:r>
    </w:p>
    <w:p w14:paraId="2E541D24">
      <w:pPr>
        <w:keepNext w:val="0"/>
        <w:keepLines w:val="0"/>
        <w:pageBreakBefore w:val="0"/>
        <w:widowControl w:val="0"/>
        <w:tabs>
          <w:tab w:val="left" w:pos="8640"/>
        </w:tabs>
        <w:kinsoku/>
        <w:wordWrap w:val="0"/>
        <w:overflowPunct/>
        <w:topLinePunct w:val="0"/>
        <w:autoSpaceDE/>
        <w:autoSpaceDN/>
        <w:bidi w:val="0"/>
        <w:adjustRightInd w:val="0"/>
        <w:snapToGrid w:val="0"/>
        <w:spacing w:line="240" w:lineRule="auto"/>
        <w:textAlignment w:val="auto"/>
        <w:rPr>
          <w:rFonts w:ascii="方正黑体简体" w:eastAsia="方正黑体简体"/>
          <w:bCs/>
          <w:color w:val="auto"/>
          <w:spacing w:val="6"/>
          <w:sz w:val="21"/>
          <w:szCs w:val="21"/>
        </w:rPr>
      </w:pPr>
    </w:p>
    <w:p w14:paraId="26E58E33">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43F9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424D8ACF">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2E18DDD0">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北京市昌平区百善镇人民政府</w:t>
            </w:r>
          </w:p>
        </w:tc>
      </w:tr>
      <w:tr w14:paraId="009B0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4F3AFA8B">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1F4E3DD7">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街道乡镇</w:t>
            </w:r>
          </w:p>
        </w:tc>
      </w:tr>
      <w:tr w14:paraId="61F9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799CD192">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7E6BF2B7">
            <w:pPr>
              <w:keepNext w:val="0"/>
              <w:keepLines w:val="0"/>
              <w:pageBreakBefore w:val="0"/>
              <w:widowControl w:val="0"/>
              <w:kinsoku/>
              <w:wordWrap w:val="0"/>
              <w:topLinePunct w:val="0"/>
              <w:autoSpaceDE/>
              <w:autoSpaceDN/>
              <w:bidi w:val="0"/>
              <w:adjustRightInd w:val="0"/>
              <w:jc w:val="center"/>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北京市昌平区百善镇泥洼村</w:t>
            </w:r>
          </w:p>
        </w:tc>
      </w:tr>
      <w:tr w14:paraId="13D9C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27A8A302">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182B7100">
            <w:pPr>
              <w:keepNext w:val="0"/>
              <w:keepLines w:val="0"/>
              <w:pageBreakBefore w:val="0"/>
              <w:widowControl w:val="0"/>
              <w:kinsoku/>
              <w:wordWrap w:val="0"/>
              <w:topLinePunct w:val="0"/>
              <w:autoSpaceDE/>
              <w:autoSpaceDN/>
              <w:bidi w:val="0"/>
              <w:adjustRightInd w:val="0"/>
              <w:snapToGrid w:val="0"/>
              <w:jc w:val="both"/>
              <w:rPr>
                <w:rFonts w:hint="eastAsia" w:ascii="仿宋_GB2312" w:hAnsi="仿宋_GB2312" w:eastAsia="仿宋_GB2312" w:cs="仿宋_GB2312"/>
                <w:bCs/>
                <w:color w:val="auto"/>
                <w:spacing w:val="6"/>
                <w:szCs w:val="28"/>
              </w:rPr>
            </w:pPr>
          </w:p>
        </w:tc>
      </w:tr>
      <w:tr w14:paraId="68A5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301A0F7B">
            <w:pPr>
              <w:keepNext w:val="0"/>
              <w:keepLines w:val="0"/>
              <w:pageBreakBefore w:val="0"/>
              <w:widowControl w:val="0"/>
              <w:kinsoku/>
              <w:wordWrap w:val="0"/>
              <w:topLinePunct w:val="0"/>
              <w:autoSpaceDE/>
              <w:autoSpaceDN/>
              <w:bidi w:val="0"/>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6C3838E6">
            <w:pPr>
              <w:keepNext w:val="0"/>
              <w:keepLines w:val="0"/>
              <w:pageBreakBefore w:val="0"/>
              <w:widowControl w:val="0"/>
              <w:kinsoku/>
              <w:wordWrap w:val="0"/>
              <w:topLinePunct w:val="0"/>
              <w:autoSpaceDE/>
              <w:autoSpaceDN/>
              <w:bidi w:val="0"/>
              <w:adjustRightInd w:val="0"/>
              <w:snapToGrid w:val="0"/>
              <w:jc w:val="both"/>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史立媛</w:t>
            </w:r>
          </w:p>
        </w:tc>
        <w:tc>
          <w:tcPr>
            <w:tcW w:w="1073" w:type="dxa"/>
            <w:vAlign w:val="center"/>
          </w:tcPr>
          <w:p w14:paraId="2302F313">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7B91BCA3">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lang w:eastAsia="zh-CN"/>
              </w:rPr>
            </w:pPr>
            <w:r>
              <w:rPr>
                <w:rFonts w:hint="eastAsia" w:ascii="仿宋_GB2312" w:hAnsi="仿宋_GB2312" w:eastAsia="仿宋_GB2312" w:cs="仿宋_GB2312"/>
                <w:bCs/>
                <w:color w:val="auto"/>
                <w:spacing w:val="6"/>
                <w:szCs w:val="28"/>
                <w:lang w:val="en-US" w:eastAsia="zh-CN"/>
              </w:rPr>
              <w:t>百善镇党群办（组织）负责人</w:t>
            </w:r>
          </w:p>
        </w:tc>
      </w:tr>
      <w:tr w14:paraId="7D6E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40CADCAC">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3B7611F9">
            <w:pPr>
              <w:keepNext w:val="0"/>
              <w:keepLines w:val="0"/>
              <w:pageBreakBefore w:val="0"/>
              <w:widowControl w:val="0"/>
              <w:kinsoku/>
              <w:wordWrap w:val="0"/>
              <w:topLinePunct w:val="0"/>
              <w:autoSpaceDE/>
              <w:autoSpaceDN/>
              <w:bidi w:val="0"/>
              <w:adjustRightInd w:val="0"/>
              <w:snapToGrid w:val="0"/>
              <w:jc w:val="both"/>
              <w:rPr>
                <w:rFonts w:hint="default" w:ascii="仿宋_GB2312" w:hAnsi="仿宋_GB2312" w:eastAsia="仿宋_GB2312" w:cs="仿宋_GB2312"/>
                <w:bCs/>
                <w:color w:val="auto"/>
                <w:spacing w:val="6"/>
                <w:szCs w:val="28"/>
                <w:lang w:val="en-US" w:eastAsia="zh-CN"/>
              </w:rPr>
            </w:pPr>
            <w:r>
              <w:rPr>
                <w:rFonts w:hint="default" w:ascii="Times New Roman" w:hAnsi="Times New Roman" w:eastAsia="仿宋_GB2312" w:cs="Times New Roman"/>
                <w:bCs/>
                <w:color w:val="auto"/>
                <w:spacing w:val="6"/>
                <w:szCs w:val="28"/>
                <w:lang w:val="en-US" w:eastAsia="zh-CN"/>
              </w:rPr>
              <w:t>13811780822</w:t>
            </w:r>
          </w:p>
        </w:tc>
        <w:tc>
          <w:tcPr>
            <w:tcW w:w="1073" w:type="dxa"/>
            <w:vAlign w:val="center"/>
          </w:tcPr>
          <w:p w14:paraId="1A2F2721">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79C58720">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rPr>
            </w:pPr>
          </w:p>
        </w:tc>
      </w:tr>
    </w:tbl>
    <w:p w14:paraId="71B0B463">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612D17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B0DDC4B">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E5B594A">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自主腾退合并小区社会治理共同体建设研究</w:t>
            </w:r>
          </w:p>
        </w:tc>
      </w:tr>
      <w:tr w14:paraId="3D6229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ED04D4C">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17C4769">
            <w:pPr>
              <w:keepNext w:val="0"/>
              <w:keepLines w:val="0"/>
              <w:pageBreakBefore w:val="0"/>
              <w:widowControl w:val="0"/>
              <w:kinsoku/>
              <w:wordWrap w:val="0"/>
              <w:topLinePunct w:val="0"/>
              <w:autoSpaceDE/>
              <w:autoSpaceDN/>
              <w:bidi w:val="0"/>
              <w:adjustRightInd w:val="0"/>
              <w:snapToGrid w:val="0"/>
              <w:ind w:firstLine="480" w:firstLineChars="200"/>
              <w:jc w:val="both"/>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color w:val="000000"/>
                <w:lang w:eastAsia="zh-CN"/>
              </w:rPr>
              <w:t>城市修补更新与社会治理创新</w:t>
            </w:r>
          </w:p>
        </w:tc>
      </w:tr>
      <w:tr w14:paraId="1F6E5D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62AC6BF">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E031B43">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本项目聚焦百善镇新四禧家园（原百葛路3号院）自主腾退合并后的治理难题，立足城市修补更新与社会治理创新要求，结合百善镇党建引领网格化治理基础，破解腾退合并小区组织协同弱、居民参与度低等痛点。新四禧家园（原百葛路3号院）作为我镇重要的民生安置项目，总占地面积约35.66公顷，总建筑面积达76.63万平方米，集中安置了百善村、东沙屯村、牛房圈村、二德庄村近九千人。</w:t>
            </w:r>
          </w:p>
          <w:p w14:paraId="799D48C4">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刚性需求为居民自主参与的议事决策机制、适配腾退合并小区的精细化治理</w:t>
            </w:r>
            <w:r>
              <w:rPr>
                <w:rFonts w:hint="eastAsia" w:ascii="仿宋_GB2312" w:hAnsi="仿宋_GB2312" w:eastAsia="仿宋_GB2312" w:cs="仿宋_GB2312"/>
                <w:b w:val="0"/>
                <w:bCs/>
                <w:color w:val="000000"/>
                <w:spacing w:val="6"/>
                <w:szCs w:val="28"/>
                <w:lang w:val="en-US" w:eastAsia="zh-CN"/>
              </w:rPr>
              <w:t>机制</w:t>
            </w:r>
            <w:r>
              <w:rPr>
                <w:rFonts w:hint="eastAsia" w:ascii="仿宋_GB2312" w:hAnsi="仿宋_GB2312" w:eastAsia="仿宋_GB2312" w:cs="仿宋_GB2312"/>
                <w:b w:val="0"/>
                <w:bCs/>
                <w:color w:val="000000"/>
                <w:spacing w:val="6"/>
                <w:szCs w:val="28"/>
                <w:lang w:val="en-US"/>
              </w:rPr>
              <w:t>，形成可落地、可复制的治理方案与实操手册。成果需包含机制设计、实操流程、居民动员方案三类核心内容，无成熟方案参考，需结合社区实际创新。</w:t>
            </w:r>
          </w:p>
          <w:p w14:paraId="0790DB05">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rPr>
              <w:t xml:space="preserve"> 项目可调动经管、社工、公管等多专业学生参与，攻关周期短、创新空间大，成果直接应用新四禧家园（原百葛路3号院）治理，也可为同类腾退合并小区提供实践参考。</w:t>
            </w:r>
          </w:p>
        </w:tc>
      </w:tr>
      <w:tr w14:paraId="0B9A5C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64A7E36">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4DBD208">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rPr>
            </w:pPr>
          </w:p>
          <w:p w14:paraId="24A995AD">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1. 提报形式：提交完整方案文本（含封面、目录、正文、附件），正文需含需求分析、设计方案、落地路径、实操细则，字数不少于3000字，附PPT汇报稿（15-20页）；</w:t>
            </w:r>
          </w:p>
          <w:p w14:paraId="606B6722">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eastAsia="zh-CN"/>
              </w:rPr>
              <w:t>2</w:t>
            </w:r>
            <w:r>
              <w:rPr>
                <w:rFonts w:hint="eastAsia" w:ascii="仿宋_GB2312" w:hAnsi="仿宋_GB2312" w:eastAsia="仿宋_GB2312" w:cs="仿宋_GB2312"/>
                <w:b w:val="0"/>
                <w:bCs/>
                <w:color w:val="000000"/>
                <w:spacing w:val="6"/>
                <w:szCs w:val="28"/>
              </w:rPr>
              <w:t>. 内容要求：紧扣</w:t>
            </w:r>
            <w:r>
              <w:rPr>
                <w:rFonts w:hint="eastAsia" w:ascii="仿宋_GB2312" w:hAnsi="仿宋_GB2312" w:eastAsia="仿宋_GB2312" w:cs="仿宋_GB2312"/>
                <w:b w:val="0"/>
                <w:bCs/>
                <w:color w:val="000000"/>
                <w:spacing w:val="6"/>
                <w:szCs w:val="28"/>
                <w:lang w:val="en-US"/>
              </w:rPr>
              <w:t>新四禧家园（原百葛路3号院）</w:t>
            </w:r>
            <w:r>
              <w:rPr>
                <w:rFonts w:hint="eastAsia" w:ascii="仿宋_GB2312" w:hAnsi="仿宋_GB2312" w:eastAsia="仿宋_GB2312" w:cs="仿宋_GB2312"/>
                <w:b w:val="0"/>
                <w:bCs/>
                <w:color w:val="000000"/>
                <w:spacing w:val="6"/>
                <w:szCs w:val="28"/>
              </w:rPr>
              <w:t>实际，方案需具落地性、创新性，拒绝空泛理论，需明确治理架构、议事机制、居民动员等核心内容的实操步骤，可附调研数据、流程图、设计图等支撑材料；</w:t>
            </w:r>
          </w:p>
          <w:p w14:paraId="16CCF378">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val="en-US" w:eastAsia="zh-CN"/>
              </w:rPr>
              <w:t>3</w:t>
            </w:r>
            <w:r>
              <w:rPr>
                <w:rFonts w:hint="eastAsia" w:ascii="仿宋_GB2312" w:hAnsi="仿宋_GB2312" w:eastAsia="仿宋_GB2312" w:cs="仿宋_GB2312"/>
                <w:b w:val="0"/>
                <w:bCs/>
                <w:color w:val="000000"/>
                <w:spacing w:val="6"/>
                <w:szCs w:val="28"/>
              </w:rPr>
              <w:t>. 提交规范：作品命名为“</w:t>
            </w:r>
            <w:r>
              <w:rPr>
                <w:rFonts w:hint="eastAsia" w:ascii="仿宋_GB2312" w:hAnsi="仿宋_GB2312" w:eastAsia="仿宋_GB2312" w:cs="仿宋_GB2312"/>
                <w:b w:val="0"/>
                <w:bCs/>
                <w:color w:val="000000"/>
                <w:spacing w:val="6"/>
                <w:szCs w:val="28"/>
                <w:lang w:val="en-US"/>
              </w:rPr>
              <w:t>新四禧家园</w:t>
            </w:r>
            <w:r>
              <w:rPr>
                <w:rFonts w:hint="eastAsia" w:ascii="仿宋_GB2312" w:hAnsi="仿宋_GB2312" w:eastAsia="仿宋_GB2312" w:cs="仿宋_GB2312"/>
                <w:b w:val="0"/>
                <w:bCs/>
                <w:color w:val="000000"/>
                <w:spacing w:val="6"/>
                <w:szCs w:val="28"/>
              </w:rPr>
              <w:t>治理共同体+学校+团队名”，文本为PDF格式，PPT为PPTX格式，均为原创，无抄袭、剽窃行为。</w:t>
            </w:r>
          </w:p>
        </w:tc>
      </w:tr>
      <w:tr w14:paraId="1EBBBB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F386E">
            <w:pPr>
              <w:keepNext w:val="0"/>
              <w:keepLines w:val="0"/>
              <w:pageBreakBefore w:val="0"/>
              <w:widowControl w:val="0"/>
              <w:kinsoku/>
              <w:wordWrap w:val="0"/>
              <w:overflowPunct w:val="0"/>
              <w:topLinePunct w:val="0"/>
              <w:autoSpaceDE/>
              <w:autoSpaceDN/>
              <w:bidi w:val="0"/>
              <w:adjustRightInd w:val="0"/>
              <w:snapToGrid w:val="0"/>
              <w:spacing w:line="240" w:lineRule="auto"/>
              <w:jc w:val="center"/>
              <w:textAlignment w:val="auto"/>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25291993">
            <w:pPr>
              <w:keepNext w:val="0"/>
              <w:keepLines w:val="0"/>
              <w:pageBreakBefore w:val="0"/>
              <w:widowControl w:val="0"/>
              <w:kinsoku/>
              <w:wordWrap w:val="0"/>
              <w:overflowPunct w:val="0"/>
              <w:topLinePunct w:val="0"/>
              <w:autoSpaceDE/>
              <w:autoSpaceDN/>
              <w:bidi w:val="0"/>
              <w:adjustRightInd w:val="0"/>
              <w:snapToGrid w:val="0"/>
              <w:spacing w:line="240" w:lineRule="auto"/>
              <w:jc w:val="center"/>
              <w:textAlignment w:val="auto"/>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13F23">
            <w:pPr>
              <w:keepNext w:val="0"/>
              <w:keepLines w:val="0"/>
              <w:pageBreakBefore w:val="0"/>
              <w:widowControl w:val="0"/>
              <w:kinsoku/>
              <w:wordWrap w:val="0"/>
              <w:topLinePunct w:val="0"/>
              <w:autoSpaceDE/>
              <w:autoSpaceDN/>
              <w:bidi w:val="0"/>
              <w:adjustRightInd w:val="0"/>
              <w:snapToGrid w:val="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 xml:space="preserve">评选标准（总分100分） </w:t>
            </w:r>
          </w:p>
          <w:p w14:paraId="65B5B8EA">
            <w:pPr>
              <w:keepNext w:val="0"/>
              <w:keepLines w:val="0"/>
              <w:pageBreakBefore w:val="0"/>
              <w:widowControl w:val="0"/>
              <w:kinsoku/>
              <w:wordWrap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1. 贴合需求（30分）：精准匹配腾退合并小区治理痛点，刚性需求响应全面，契合社区实际；</w:t>
            </w:r>
          </w:p>
          <w:p w14:paraId="1DE2FC31">
            <w:pPr>
              <w:keepNext w:val="0"/>
              <w:keepLines w:val="0"/>
              <w:pageBreakBefore w:val="0"/>
              <w:widowControl w:val="0"/>
              <w:kinsoku/>
              <w:wordWrap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2. 创新实用（35分）：治理模式、机制设计有创新，落地路径清晰可操作，能直接应用于社区实践；</w:t>
            </w:r>
          </w:p>
          <w:p w14:paraId="382658A2">
            <w:pPr>
              <w:keepNext w:val="0"/>
              <w:keepLines w:val="0"/>
              <w:pageBreakBefore w:val="0"/>
              <w:widowControl w:val="0"/>
              <w:kinsoku/>
              <w:wordWrap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3. 内容完整（20分）：方案结构完整，逻辑清晰，支撑材料详实，实操细则具体；</w:t>
            </w:r>
          </w:p>
          <w:p w14:paraId="0B9A08F5">
            <w:pPr>
              <w:keepNext w:val="0"/>
              <w:keepLines w:val="0"/>
              <w:pageBreakBefore w:val="0"/>
              <w:widowControl w:val="0"/>
              <w:kinsoku/>
              <w:wordWrap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4. 格式规范（15分）：符合提报形式、命名及内容规范，原创性达标，无格式错误。</w:t>
            </w:r>
          </w:p>
          <w:p w14:paraId="54AE8FFC">
            <w:pPr>
              <w:keepNext w:val="0"/>
              <w:keepLines w:val="0"/>
              <w:pageBreakBefore w:val="0"/>
              <w:widowControl w:val="0"/>
              <w:kinsoku/>
              <w:wordWrap w:val="0"/>
              <w:overflowPunct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u w:val="none"/>
              </w:rPr>
            </w:pPr>
          </w:p>
        </w:tc>
      </w:tr>
      <w:tr w14:paraId="231C14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423965C">
            <w:pPr>
              <w:keepNext w:val="0"/>
              <w:keepLines w:val="0"/>
              <w:pageBreakBefore w:val="0"/>
              <w:widowControl w:val="0"/>
              <w:kinsoku/>
              <w:wordWrap w:val="0"/>
              <w:overflowPunct w:val="0"/>
              <w:topLinePunct w:val="0"/>
              <w:autoSpaceDE/>
              <w:autoSpaceDN/>
              <w:bidi w:val="0"/>
              <w:adjustRightInd w:val="0"/>
              <w:snapToGrid w:val="0"/>
              <w:spacing w:line="240" w:lineRule="auto"/>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C6C8987">
            <w:pPr>
              <w:keepNext w:val="0"/>
              <w:keepLines w:val="0"/>
              <w:pageBreakBefore w:val="0"/>
              <w:widowControl w:val="0"/>
              <w:kinsoku/>
              <w:wordWrap w:val="0"/>
              <w:overflowPunct w:val="0"/>
              <w:topLinePunct w:val="0"/>
              <w:autoSpaceDE/>
              <w:autoSpaceDN/>
              <w:bidi w:val="0"/>
              <w:adjustRightInd w:val="0"/>
              <w:snapToGrid w:val="0"/>
              <w:ind w:firstLine="480" w:firstLineChars="200"/>
              <w:textAlignment w:val="auto"/>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color w:val="000000"/>
                <w:u w:val="none"/>
                <w:lang w:eastAsia="zh-CN"/>
              </w:rPr>
              <w:t>无</w:t>
            </w:r>
          </w:p>
        </w:tc>
      </w:tr>
    </w:tbl>
    <w:p w14:paraId="27406942">
      <w:pPr>
        <w:keepNext w:val="0"/>
        <w:keepLines w:val="0"/>
        <w:pageBreakBefore w:val="0"/>
        <w:widowControl w:val="0"/>
        <w:tabs>
          <w:tab w:val="left" w:pos="8640"/>
        </w:tabs>
        <w:kinsoku/>
        <w:wordWrap w:val="0"/>
        <w:topLinePunct w:val="0"/>
        <w:autoSpaceDE/>
        <w:autoSpaceDN/>
        <w:bidi w:val="0"/>
        <w:adjustRightInd w:val="0"/>
        <w:snapToGrid w:val="0"/>
        <w:spacing w:line="440" w:lineRule="exact"/>
        <w:textAlignment w:val="auto"/>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2605F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27B37E8">
            <w:pPr>
              <w:keepNext w:val="0"/>
              <w:keepLines w:val="0"/>
              <w:pageBreakBefore w:val="0"/>
              <w:widowControl w:val="0"/>
              <w:kinsoku/>
              <w:wordWrap w:val="0"/>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107A55A">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 xml:space="preserve"> </w:t>
            </w:r>
          </w:p>
          <w:p w14:paraId="2C79D279">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为保障参赛团队高效备赛、精准对接项目需求，</w:t>
            </w:r>
            <w:r>
              <w:rPr>
                <w:rFonts w:hint="eastAsia" w:ascii="仿宋_GB2312" w:hAnsi="仿宋_GB2312" w:eastAsia="仿宋_GB2312" w:cs="仿宋_GB2312"/>
                <w:b w:val="0"/>
                <w:bCs/>
                <w:color w:val="000000"/>
                <w:spacing w:val="6"/>
                <w:szCs w:val="28"/>
                <w:lang w:val="en-US"/>
              </w:rPr>
              <w:t>新四禧家园（原百葛路3号院）</w:t>
            </w:r>
            <w:r>
              <w:rPr>
                <w:rFonts w:hint="eastAsia" w:ascii="仿宋_GB2312" w:hAnsi="仿宋_GB2312" w:eastAsia="仿宋_GB2312" w:cs="仿宋_GB2312"/>
                <w:b w:val="0"/>
                <w:bCs/>
                <w:color w:val="000000"/>
                <w:spacing w:val="6"/>
                <w:szCs w:val="28"/>
              </w:rPr>
              <w:t xml:space="preserve">联合相关主管单位提供全方位实践指导与资源支持，所有措施均在参赛团队报名成功后3个工作日内启动落实，具体保障内容如下： </w:t>
            </w:r>
          </w:p>
          <w:p w14:paraId="6C53C5B0">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1. 实地调研保障：统一组织参赛团队赴</w:t>
            </w:r>
            <w:r>
              <w:rPr>
                <w:rFonts w:hint="eastAsia" w:ascii="仿宋_GB2312" w:hAnsi="仿宋_GB2312" w:eastAsia="仿宋_GB2312" w:cs="仿宋_GB2312"/>
                <w:b w:val="0"/>
                <w:bCs/>
                <w:color w:val="000000"/>
                <w:spacing w:val="6"/>
                <w:szCs w:val="28"/>
                <w:lang w:val="en-US"/>
              </w:rPr>
              <w:t>新四禧家园（原百葛路3号院）</w:t>
            </w:r>
            <w:r>
              <w:rPr>
                <w:rFonts w:hint="eastAsia" w:ascii="仿宋_GB2312" w:hAnsi="仿宋_GB2312" w:eastAsia="仿宋_GB2312" w:cs="仿宋_GB2312"/>
                <w:b w:val="0"/>
                <w:bCs/>
                <w:color w:val="000000"/>
                <w:spacing w:val="6"/>
                <w:szCs w:val="28"/>
              </w:rPr>
              <w:t>开展现场参观与实地调研，安排工作人员陪同讲解，介绍腾退合并治理现状、核心痛点及基层治理工作实际，协助团队获取一手调研数据，调研时间可根据团队需求灵活协调。</w:t>
            </w:r>
          </w:p>
          <w:p w14:paraId="3224ED1A">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2. 资料支持保障：专人整理并向参赛团队提供社区治理相关基础资料，含</w:t>
            </w:r>
            <w:r>
              <w:rPr>
                <w:rFonts w:hint="eastAsia" w:ascii="仿宋_GB2312" w:hAnsi="仿宋_GB2312" w:eastAsia="仿宋_GB2312" w:cs="仿宋_GB2312"/>
                <w:b w:val="0"/>
                <w:bCs/>
                <w:color w:val="000000"/>
                <w:spacing w:val="6"/>
                <w:szCs w:val="28"/>
                <w:lang w:val="en-US"/>
              </w:rPr>
              <w:t>新四禧家园（原百葛路3号院）</w:t>
            </w:r>
            <w:r>
              <w:rPr>
                <w:rFonts w:hint="eastAsia" w:ascii="仿宋_GB2312" w:hAnsi="仿宋_GB2312" w:eastAsia="仿宋_GB2312" w:cs="仿宋_GB2312"/>
                <w:b w:val="0"/>
                <w:bCs/>
                <w:color w:val="000000"/>
                <w:spacing w:val="6"/>
                <w:szCs w:val="28"/>
              </w:rPr>
              <w:t>腾退合并基本情况、党建网格化治理工作台账等，保障团队研究贴合实际。</w:t>
            </w:r>
          </w:p>
          <w:p w14:paraId="379C11FE">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3. 专人指导保障：配备社区治理一线工作人员指导小组，为参赛团队提供线上+线下答疑指导，线上随时响应方案设计疑问，每月组织1次线下座谈，针对性解决团队研究难点。</w:t>
            </w:r>
          </w:p>
          <w:p w14:paraId="156E8441">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 xml:space="preserve">4. 实践对接保障：协助参赛团队与社区居民代表、楼栋长开展座谈交流，搭建团队与社区治理主体的沟通桥梁，保障方案设计贴合居民实际需求，同时为团队方案落地性验证提供实践场景支持。 </w:t>
            </w:r>
          </w:p>
          <w:p w14:paraId="03827EF7">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落实保障：指定专人作为项目对接人，明确各项支持措施的对接流程与完成时限；统筹场地、人员、资料等资源，确保所有指导帮助落地见效。</w:t>
            </w:r>
          </w:p>
        </w:tc>
      </w:tr>
      <w:tr w14:paraId="4FF30A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493BA94">
            <w:pPr>
              <w:keepNext w:val="0"/>
              <w:keepLines w:val="0"/>
              <w:pageBreakBefore w:val="0"/>
              <w:widowControl w:val="0"/>
              <w:kinsoku/>
              <w:wordWrap w:val="0"/>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8852F7E">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一、奖项设置</w:t>
            </w:r>
          </w:p>
          <w:p w14:paraId="3EABDDBA">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原则上设“擂主”团队1个，根据实际情况评出相应的特等奖、一等奖、二等奖、三等奖项目若干。</w:t>
            </w:r>
          </w:p>
          <w:p w14:paraId="7E34022A">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二、激励措施</w:t>
            </w:r>
          </w:p>
          <w:p w14:paraId="6BFFA22D">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rPr>
              <w:t>团队成员可获得实习岗位</w:t>
            </w:r>
            <w:r>
              <w:rPr>
                <w:rFonts w:hint="eastAsia" w:ascii="仿宋_GB2312" w:hAnsi="仿宋_GB2312" w:eastAsia="仿宋_GB2312" w:cs="仿宋_GB2312"/>
                <w:b w:val="0"/>
                <w:bCs/>
                <w:color w:val="000000"/>
                <w:spacing w:val="6"/>
                <w:szCs w:val="28"/>
                <w:lang w:val="en-US" w:eastAsia="zh-CN"/>
              </w:rPr>
              <w:t>。对必要性强、可行性高项目落地给予资金支持。</w:t>
            </w:r>
          </w:p>
        </w:tc>
      </w:tr>
    </w:tbl>
    <w:p w14:paraId="7F30EB93">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151D05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56C3DF9D">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10F48">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 xml:space="preserve"> </w:t>
            </w:r>
          </w:p>
          <w:p w14:paraId="20140716">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 xml:space="preserve">本项目聚焦社会治理领域城市更新背景下的基层治理现实难题，针对腾退合并小区居民参与不足、机制适配性差等行业共性瓶颈问题开展攻关，对破解城市修补更新与基层社会治理融合的重大课题具有关键推动价值。 </w:t>
            </w:r>
          </w:p>
          <w:p w14:paraId="09444AD9">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 xml:space="preserve">项目创新适配腾退合并小区的议事决策、居民动员、精细化治理实操方法，为基层治理现代化提供可复制、可落地的技术路径。 </w:t>
            </w:r>
          </w:p>
        </w:tc>
      </w:tr>
      <w:tr w14:paraId="3A5ABA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F7FBC">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0F9059">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社会效益方面，成果落地可快速破解</w:t>
            </w:r>
            <w:r>
              <w:rPr>
                <w:rFonts w:hint="eastAsia" w:ascii="仿宋_GB2312" w:hAnsi="仿宋_GB2312" w:eastAsia="仿宋_GB2312" w:cs="仿宋_GB2312"/>
                <w:b w:val="0"/>
                <w:bCs/>
                <w:color w:val="000000"/>
                <w:spacing w:val="6"/>
                <w:szCs w:val="28"/>
                <w:lang w:val="en-US"/>
              </w:rPr>
              <w:t>新四禧家园（原百葛路3号院）</w:t>
            </w:r>
            <w:r>
              <w:rPr>
                <w:rFonts w:hint="eastAsia" w:ascii="仿宋_GB2312" w:hAnsi="仿宋_GB2312" w:eastAsia="仿宋_GB2312" w:cs="仿宋_GB2312"/>
                <w:b w:val="0"/>
                <w:bCs/>
                <w:color w:val="000000"/>
                <w:spacing w:val="6"/>
                <w:szCs w:val="28"/>
                <w:u w:val="none"/>
              </w:rPr>
              <w:t xml:space="preserve">组织协同弱、居民参与低等治理难题，提升社区服务效率与居民生活幸福感、归属感，从源头减少邻里矛盾、治理纠纷，筑牢基层治理防线。 </w:t>
            </w:r>
          </w:p>
          <w:p w14:paraId="4CAF8A85">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通过创新治理机制整合社区党建、网格、居民等现有资源，提升基层治理资源利用效率，降低社区治理运营成本；同时，高效的社区治理为辖区营造稳定的发展环境，助力百善镇城市更新与区域发展深度融合，间接带动辖区民生服务、社区经济良性发展。</w:t>
            </w:r>
          </w:p>
        </w:tc>
      </w:tr>
    </w:tbl>
    <w:p w14:paraId="0C455F44">
      <w:pPr>
        <w:keepNext w:val="0"/>
        <w:keepLines w:val="0"/>
        <w:pageBreakBefore w:val="0"/>
        <w:widowControl w:val="0"/>
        <w:kinsoku/>
        <w:wordWrap w:val="0"/>
        <w:topLinePunct w:val="0"/>
        <w:autoSpaceDE/>
        <w:autoSpaceDN/>
        <w:bidi w:val="0"/>
        <w:textAlignment w:val="auto"/>
        <w:rPr>
          <w:rFonts w:hint="eastAsia" w:ascii="楷体_GB2312" w:hAnsi="楷体_GB2312" w:eastAsia="楷体_GB2312" w:cs="楷体_GB2312"/>
          <w:color w:val="auto"/>
        </w:rPr>
      </w:pPr>
      <w:r>
        <w:rPr>
          <w:rFonts w:hint="eastAsia" w:ascii="楷体_GB2312" w:hAnsi="楷体_GB2312" w:eastAsia="楷体_GB2312" w:cs="楷体_GB2312"/>
          <w:color w:val="auto"/>
        </w:rPr>
        <w:br w:type="page"/>
      </w:r>
    </w:p>
    <w:p w14:paraId="73E8D3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6D7F5F9D">
      <w:pPr>
        <w:widowControl w:val="0"/>
        <w:tabs>
          <w:tab w:val="left" w:pos="8640"/>
        </w:tabs>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—18</w:t>
      </w:r>
    </w:p>
    <w:p w14:paraId="66D4BF2B">
      <w:pPr>
        <w:keepNext w:val="0"/>
        <w:keepLines w:val="0"/>
        <w:pageBreakBefore w:val="0"/>
        <w:widowControl w:val="0"/>
        <w:tabs>
          <w:tab w:val="left" w:pos="8640"/>
        </w:tabs>
        <w:kinsoku/>
        <w:wordWrap w:val="0"/>
        <w:overflowPunct/>
        <w:topLinePunct w:val="0"/>
        <w:autoSpaceDE/>
        <w:autoSpaceDN/>
        <w:bidi w:val="0"/>
        <w:adjustRightInd w:val="0"/>
        <w:snapToGrid w:val="0"/>
        <w:spacing w:line="240" w:lineRule="auto"/>
        <w:textAlignment w:val="auto"/>
        <w:rPr>
          <w:rFonts w:ascii="方正黑体简体" w:eastAsia="方正黑体简体"/>
          <w:bCs/>
          <w:color w:val="auto"/>
          <w:spacing w:val="6"/>
          <w:sz w:val="21"/>
          <w:szCs w:val="21"/>
        </w:rPr>
      </w:pPr>
    </w:p>
    <w:p w14:paraId="4FC116B8">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0EB6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1D749A9C">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3A7DD248">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北京市昌平区兴寿镇人民政府</w:t>
            </w:r>
          </w:p>
        </w:tc>
      </w:tr>
      <w:tr w14:paraId="4091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074C8014">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6548E5A7">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eastAsia="zh-CN"/>
              </w:rPr>
              <w:t>乡镇</w:t>
            </w:r>
          </w:p>
        </w:tc>
      </w:tr>
      <w:tr w14:paraId="02B9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1085A4F5">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74547844">
            <w:pPr>
              <w:keepNext w:val="0"/>
              <w:keepLines w:val="0"/>
              <w:pageBreakBefore w:val="0"/>
              <w:widowControl w:val="0"/>
              <w:kinsoku/>
              <w:wordWrap w:val="0"/>
              <w:topLinePunct w:val="0"/>
              <w:autoSpaceDE/>
              <w:autoSpaceDN/>
              <w:bidi w:val="0"/>
              <w:adjustRightIn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北京市昌平区兴寿镇昌崔路</w:t>
            </w:r>
          </w:p>
        </w:tc>
      </w:tr>
      <w:tr w14:paraId="124E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2017A751">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66B2ED3B">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lang w:val="en-US" w:eastAsia="zh-CN"/>
              </w:rPr>
              <w:t>兴寿镇地处昌平区东北部，东与怀柔区桥梓镇、顺义区赵全营镇交界，南与小汤山镇毗邻，西与崔村镇相连，北与延寿镇接壤。镇域面积75.03平方千米，下辖21个行政村，镇政府驻昌平区兴寿镇兴寿村。总人口23490人，其中城镇人口9159人，农业人口14331人。兴寿镇结合自身特点，紧跟首都农业发展步伐，以设施农业建设为重点，积极调整农业产业结构，通过政府引导、农户参与，逐渐形成了以草莓、苹果观光采摘产业为特色的都市型现代农业发展格局，以满足市民购买质优农产品方面的物质需求和观光休闲方面的精神需求。</w:t>
            </w:r>
          </w:p>
        </w:tc>
      </w:tr>
      <w:tr w14:paraId="0347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1AB6C386">
            <w:pPr>
              <w:keepNext w:val="0"/>
              <w:keepLines w:val="0"/>
              <w:pageBreakBefore w:val="0"/>
              <w:widowControl w:val="0"/>
              <w:kinsoku/>
              <w:wordWrap w:val="0"/>
              <w:topLinePunct w:val="0"/>
              <w:autoSpaceDE/>
              <w:autoSpaceDN/>
              <w:bidi w:val="0"/>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618C11C7">
            <w:pPr>
              <w:keepNext w:val="0"/>
              <w:keepLines w:val="0"/>
              <w:pageBreakBefore w:val="0"/>
              <w:widowControl w:val="0"/>
              <w:kinsoku/>
              <w:wordWrap w:val="0"/>
              <w:topLinePunct w:val="0"/>
              <w:autoSpaceDE/>
              <w:autoSpaceDN/>
              <w:bidi w:val="0"/>
              <w:adjustRightInd w:val="0"/>
              <w:snapToGrid w:val="0"/>
              <w:jc w:val="both"/>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张悦</w:t>
            </w:r>
          </w:p>
        </w:tc>
        <w:tc>
          <w:tcPr>
            <w:tcW w:w="1073" w:type="dxa"/>
            <w:vAlign w:val="center"/>
          </w:tcPr>
          <w:p w14:paraId="73D3C5B7">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41E2FBE7">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lang w:eastAsia="zh-CN"/>
              </w:rPr>
            </w:pPr>
            <w:r>
              <w:rPr>
                <w:rFonts w:hint="eastAsia" w:ascii="仿宋_GB2312" w:hAnsi="仿宋_GB2312" w:eastAsia="仿宋_GB2312" w:cs="仿宋_GB2312"/>
                <w:bCs/>
                <w:color w:val="auto"/>
                <w:spacing w:val="6"/>
                <w:szCs w:val="28"/>
                <w:lang w:val="en-US" w:eastAsia="zh-CN"/>
              </w:rPr>
              <w:t>青少年事务社工</w:t>
            </w:r>
          </w:p>
        </w:tc>
      </w:tr>
      <w:tr w14:paraId="4BB6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56F14DE2">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781661FC">
            <w:pPr>
              <w:keepNext w:val="0"/>
              <w:keepLines w:val="0"/>
              <w:pageBreakBefore w:val="0"/>
              <w:widowControl w:val="0"/>
              <w:kinsoku/>
              <w:wordWrap w:val="0"/>
              <w:topLinePunct w:val="0"/>
              <w:autoSpaceDE/>
              <w:autoSpaceDN/>
              <w:bidi w:val="0"/>
              <w:adjustRightInd w:val="0"/>
              <w:snapToGrid w:val="0"/>
              <w:jc w:val="both"/>
              <w:rPr>
                <w:rFonts w:hint="default" w:ascii="仿宋_GB2312" w:hAnsi="仿宋_GB2312" w:eastAsia="仿宋_GB2312" w:cs="仿宋_GB2312"/>
                <w:bCs/>
                <w:color w:val="auto"/>
                <w:spacing w:val="6"/>
                <w:szCs w:val="28"/>
                <w:lang w:val="en-US" w:eastAsia="zh-CN"/>
              </w:rPr>
            </w:pPr>
            <w:r>
              <w:rPr>
                <w:rFonts w:hint="default" w:ascii="Times New Roman" w:hAnsi="Times New Roman" w:eastAsia="仿宋_GB2312" w:cs="Times New Roman"/>
                <w:bCs/>
                <w:color w:val="auto"/>
                <w:spacing w:val="6"/>
                <w:szCs w:val="28"/>
                <w:lang w:val="en-US" w:eastAsia="zh-CN"/>
              </w:rPr>
              <w:t>15811115837</w:t>
            </w:r>
          </w:p>
        </w:tc>
        <w:tc>
          <w:tcPr>
            <w:tcW w:w="1073" w:type="dxa"/>
            <w:vAlign w:val="center"/>
          </w:tcPr>
          <w:p w14:paraId="4861B7CC">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66D5123F">
            <w:pPr>
              <w:keepNext w:val="0"/>
              <w:keepLines w:val="0"/>
              <w:pageBreakBefore w:val="0"/>
              <w:widowControl w:val="0"/>
              <w:kinsoku/>
              <w:wordWrap w:val="0"/>
              <w:topLinePunct w:val="0"/>
              <w:autoSpaceDE/>
              <w:autoSpaceDN/>
              <w:bidi w:val="0"/>
              <w:adjustRightInd w:val="0"/>
              <w:jc w:val="center"/>
              <w:rPr>
                <w:rFonts w:hint="default" w:ascii="Times New Roman" w:hAnsi="Times New Roman" w:eastAsia="方正仿宋简体" w:cs="Times New Roman"/>
                <w:color w:val="auto"/>
                <w:lang w:val="en-US" w:eastAsia="zh-CN"/>
              </w:rPr>
            </w:pPr>
            <w:r>
              <w:rPr>
                <w:rFonts w:hint="eastAsia" w:ascii="Times New Roman" w:hAnsi="Times New Roman" w:eastAsia="仿宋_GB2312" w:cs="Times New Roman"/>
                <w:bCs/>
                <w:color w:val="auto"/>
                <w:spacing w:val="6"/>
                <w:szCs w:val="28"/>
                <w:lang w:val="en-US" w:eastAsia="zh-CN"/>
              </w:rPr>
              <w:t>15811115837</w:t>
            </w:r>
          </w:p>
        </w:tc>
      </w:tr>
    </w:tbl>
    <w:p w14:paraId="528A3E91">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2E6DF7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85E9F0D">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C7A0FCF">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探索兴寿镇辛庄村多元业态发展</w:t>
            </w:r>
          </w:p>
        </w:tc>
      </w:tr>
      <w:tr w14:paraId="5456BC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D002CFC">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3235D9D">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bCs/>
                <w:color w:val="000000"/>
                <w:spacing w:val="6"/>
                <w:szCs w:val="28"/>
                <w:lang w:eastAsia="zh-CN"/>
              </w:rPr>
              <w:t>乡村振兴</w:t>
            </w:r>
          </w:p>
        </w:tc>
      </w:tr>
      <w:tr w14:paraId="21DF83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B3F9D07">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E070328">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本次选题聚焦兴寿镇辛庄村乡村振兴实际需求，核心围绕村庄现有文旅运营、民生服务等场景的优化升级设计，均具备明确创业攻关属性与实操价值。背景方面，辛庄村已打造辛庄park·田野东市等文旅地标，但仍存在市集业态创新不足、服务精准度待提升、数字赋能场景较单一等问题。</w:t>
            </w:r>
          </w:p>
          <w:p w14:paraId="51F13976">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核心选题及需求如下：1. 辛庄市集亲子业态与非遗融合方案，需形成可落地的活动策划与运营思路，解决亲子引流与文化传承衔接问题；2. 服务数字化升级路径，需设计简易便捷的服务对接平台，实现需求精准匹配；3. 乡村文旅线上导流优化策略，基于现有平台数据，提升曝光转化效率。</w:t>
            </w:r>
          </w:p>
          <w:p w14:paraId="7DAD71C3">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成果需为原创未成熟方案，贴合大学生知识储备，无过长周期要求，不涉及任何商业行为及额外绑定要求，便于不同专业学生结合自身强项揭榜攻关。</w:t>
            </w:r>
          </w:p>
        </w:tc>
      </w:tr>
      <w:tr w14:paraId="3747F8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B9D571D">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FA61AA3">
            <w:pPr>
              <w:keepNext w:val="0"/>
              <w:keepLines w:val="0"/>
              <w:pageBreakBefore w:val="0"/>
              <w:widowControl w:val="0"/>
              <w:kinsoku/>
              <w:wordWrap w:val="0"/>
              <w:topLinePunct w:val="0"/>
              <w:autoSpaceDE/>
              <w:autoSpaceDN/>
              <w:bidi w:val="0"/>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lang w:eastAsia="zh-CN"/>
              </w:rPr>
              <w:t>（一）</w:t>
            </w:r>
            <w:r>
              <w:rPr>
                <w:rFonts w:hint="eastAsia" w:ascii="仿宋_GB2312" w:hAnsi="仿宋_GB2312" w:eastAsia="仿宋_GB2312" w:cs="仿宋_GB2312"/>
                <w:b w:val="0"/>
                <w:color w:val="000000"/>
              </w:rPr>
              <w:t>作品方案本质是对竞赛核心考察问题的系统性应答，需覆盖以下8大模块，每个模块需论据充分、逻辑严谨，杜绝空泛表述：</w:t>
            </w:r>
          </w:p>
          <w:p w14:paraId="25125A74">
            <w:pPr>
              <w:keepNext w:val="0"/>
              <w:keepLines w:val="0"/>
              <w:pageBreakBefore w:val="0"/>
              <w:widowControl w:val="0"/>
              <w:kinsoku/>
              <w:wordWrap w:val="0"/>
              <w:topLinePunct w:val="0"/>
              <w:autoSpaceDE/>
              <w:autoSpaceDN/>
              <w:bidi w:val="0"/>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 项目概述：应答核心定位、产品/服务优势、解决的行业痛点，500字以内；</w:t>
            </w:r>
          </w:p>
          <w:p w14:paraId="3F64C0B1">
            <w:pPr>
              <w:keepNext w:val="0"/>
              <w:keepLines w:val="0"/>
              <w:pageBreakBefore w:val="0"/>
              <w:widowControl w:val="0"/>
              <w:kinsoku/>
              <w:wordWrap w:val="0"/>
              <w:topLinePunct w:val="0"/>
              <w:autoSpaceDE/>
              <w:autoSpaceDN/>
              <w:bidi w:val="0"/>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 市场分析：应答目标市场规模、机会点，需提供权威数据或自主调研数据（标注来源），严禁主观臆断；</w:t>
            </w:r>
          </w:p>
          <w:p w14:paraId="76EAC808">
            <w:pPr>
              <w:keepNext w:val="0"/>
              <w:keepLines w:val="0"/>
              <w:pageBreakBefore w:val="0"/>
              <w:widowControl w:val="0"/>
              <w:kinsoku/>
              <w:wordWrap w:val="0"/>
              <w:topLinePunct w:val="0"/>
              <w:autoSpaceDE/>
              <w:autoSpaceDN/>
              <w:bidi w:val="0"/>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 产品/服务：应答核心功能、技术壁垒/创新点、研发/迭代进度、差异化优势、知识产权归属，已落地项目补充用户反馈；</w:t>
            </w:r>
          </w:p>
          <w:p w14:paraId="211E5698">
            <w:pPr>
              <w:keepNext w:val="0"/>
              <w:keepLines w:val="0"/>
              <w:pageBreakBefore w:val="0"/>
              <w:widowControl w:val="0"/>
              <w:kinsoku/>
              <w:wordWrap w:val="0"/>
              <w:topLinePunct w:val="0"/>
              <w:autoSpaceDE/>
              <w:autoSpaceDN/>
              <w:bidi w:val="0"/>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 商业模式：应答盈利模式、获客模式、运营模式、供应链管理（如有），需具备可操作性，已创业项目需用运营数据验证有效性；</w:t>
            </w:r>
          </w:p>
          <w:p w14:paraId="37010DFA">
            <w:pPr>
              <w:keepNext w:val="0"/>
              <w:keepLines w:val="0"/>
              <w:pageBreakBefore w:val="0"/>
              <w:widowControl w:val="0"/>
              <w:kinsoku/>
              <w:wordWrap w:val="0"/>
              <w:topLinePunct w:val="0"/>
              <w:autoSpaceDE/>
              <w:autoSpaceDN/>
              <w:bidi w:val="0"/>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 团队介绍：应答核心成员背景、分工、互补优势、顾问资质（如有），重点突出团队执行能力，不单纯罗列信息；</w:t>
            </w:r>
          </w:p>
          <w:p w14:paraId="2B736B61">
            <w:pPr>
              <w:keepNext w:val="0"/>
              <w:keepLines w:val="0"/>
              <w:pageBreakBefore w:val="0"/>
              <w:widowControl w:val="0"/>
              <w:kinsoku/>
              <w:wordWrap w:val="0"/>
              <w:topLinePunct w:val="0"/>
              <w:autoSpaceDE/>
              <w:autoSpaceDN/>
              <w:bidi w:val="0"/>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 财务规划：应答资金需求及用途、融资计划（如有）、1-3年财务预测、盈亏平衡点，已创业项目需提供近3个月及以上财务报表，数据真实合理；</w:t>
            </w:r>
          </w:p>
          <w:p w14:paraId="4132E385">
            <w:pPr>
              <w:keepNext w:val="0"/>
              <w:keepLines w:val="0"/>
              <w:pageBreakBefore w:val="0"/>
              <w:widowControl w:val="0"/>
              <w:kinsoku/>
              <w:wordWrap w:val="0"/>
              <w:topLinePunct w:val="0"/>
              <w:autoSpaceDE/>
              <w:autoSpaceDN/>
              <w:bidi w:val="0"/>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 风险评估与应对：应答市场、技术、运营、政策、资金等核心风险，明确风险概率及影响，提出针对性应对措施；</w:t>
            </w:r>
          </w:p>
          <w:p w14:paraId="53DB9C62">
            <w:pPr>
              <w:keepNext w:val="0"/>
              <w:keepLines w:val="0"/>
              <w:pageBreakBefore w:val="0"/>
              <w:widowControl w:val="0"/>
              <w:kinsoku/>
              <w:wordWrap w:val="0"/>
              <w:topLinePunct w:val="0"/>
              <w:autoSpaceDE/>
              <w:autoSpaceDN/>
              <w:bidi w:val="0"/>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 社会价值与发展规划：应答项目带动就业、乡村振兴等社会价值，明确1年短期目标及3-5年中长期目标，规划需贴合实际。</w:t>
            </w:r>
          </w:p>
          <w:p w14:paraId="1AC1787C">
            <w:pPr>
              <w:keepNext w:val="0"/>
              <w:keepLines w:val="0"/>
              <w:pageBreakBefore w:val="0"/>
              <w:widowControl w:val="0"/>
              <w:kinsoku/>
              <w:wordWrap w:val="0"/>
              <w:topLinePunct w:val="0"/>
              <w:autoSpaceDE/>
              <w:autoSpaceDN/>
              <w:bidi w:val="0"/>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（二）作品方案撰写规范</w:t>
            </w:r>
          </w:p>
          <w:p w14:paraId="34D1CFC3">
            <w:pPr>
              <w:keepNext w:val="0"/>
              <w:keepLines w:val="0"/>
              <w:pageBreakBefore w:val="0"/>
              <w:widowControl w:val="0"/>
              <w:kinsoku/>
              <w:wordWrap w:val="0"/>
              <w:topLinePunct w:val="0"/>
              <w:autoSpaceDE/>
              <w:autoSpaceDN/>
              <w:bidi w:val="0"/>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 结构规范：按“项目概述→市场分析→产品/服务→商业模式→团队介绍→财务规划→风险评估与应对→社会价值与发展规划→附件材料”逻辑撰写，核心模块不得缺失，可结合项目特点合理调整章节顺序；</w:t>
            </w:r>
          </w:p>
          <w:p w14:paraId="6DC7D2A7">
            <w:pPr>
              <w:keepNext w:val="0"/>
              <w:keepLines w:val="0"/>
              <w:pageBreakBefore w:val="0"/>
              <w:widowControl w:val="0"/>
              <w:kinsoku/>
              <w:wordWrap w:val="0"/>
              <w:topLinePunct w:val="0"/>
              <w:autoSpaceDE/>
              <w:autoSpaceDN/>
              <w:bidi w:val="0"/>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 字数规范：不含附件、封面、目录</w:t>
            </w:r>
            <w:r>
              <w:rPr>
                <w:rFonts w:hint="eastAsia" w:ascii="仿宋_GB2312" w:hAnsi="仿宋_GB2312" w:eastAsia="仿宋_GB2312" w:cs="仿宋_GB2312"/>
                <w:b w:val="0"/>
                <w:color w:val="000000"/>
                <w:lang w:eastAsia="zh-CN"/>
              </w:rPr>
              <w:t>，</w:t>
            </w:r>
            <w:r>
              <w:rPr>
                <w:rFonts w:hint="eastAsia" w:ascii="仿宋_GB2312" w:hAnsi="仿宋_GB2312" w:eastAsia="仿宋_GB2312" w:cs="仿宋_GB2312"/>
                <w:b w:val="0"/>
                <w:color w:val="000000"/>
                <w:lang w:val="en-US" w:eastAsia="zh-CN"/>
              </w:rPr>
              <w:t>5000-8000字，</w:t>
            </w:r>
            <w:r>
              <w:rPr>
                <w:rFonts w:hint="eastAsia" w:ascii="仿宋_GB2312" w:hAnsi="仿宋_GB2312" w:eastAsia="仿宋_GB2312" w:cs="仿宋_GB2312"/>
                <w:b w:val="0"/>
                <w:color w:val="000000"/>
              </w:rPr>
              <w:t>重点模块（产品/服务、商业模式、财务规划）需详细阐述；</w:t>
            </w:r>
          </w:p>
          <w:p w14:paraId="1B4B3699">
            <w:pPr>
              <w:keepNext w:val="0"/>
              <w:keepLines w:val="0"/>
              <w:pageBreakBefore w:val="0"/>
              <w:widowControl w:val="0"/>
              <w:kinsoku/>
              <w:wordWrap w:val="0"/>
              <w:topLinePunct w:val="0"/>
              <w:autoSpaceDE/>
              <w:autoSpaceDN/>
              <w:bidi w:val="0"/>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 语言规范：简洁、专业、严谨，避免口语化、网络化表述，无错别字、语病及前后矛盾；</w:t>
            </w:r>
          </w:p>
          <w:p w14:paraId="175FAF5D">
            <w:pPr>
              <w:keepNext w:val="0"/>
              <w:keepLines w:val="0"/>
              <w:pageBreakBefore w:val="0"/>
              <w:widowControl w:val="0"/>
              <w:kinsoku/>
              <w:wordWrap w:val="0"/>
              <w:topLinePunct w:val="0"/>
              <w:autoSpaceDE/>
              <w:autoSpaceDN/>
              <w:bidi w:val="0"/>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 格式规范：封面标注项目名称、团队名称、牵头学校、负责人信息、申报类别及领域；目录标注章节标题及页码；正文标题层级清晰（一级/二级/三级标题区分）；建议正文宋体小四、标题黑体三/四号，1.5倍行间距，页边距上下左右各2.5厘米，页码从目录页连续标注。</w:t>
            </w:r>
          </w:p>
          <w:p w14:paraId="348421F0">
            <w:pPr>
              <w:keepNext w:val="0"/>
              <w:keepLines w:val="0"/>
              <w:pageBreakBefore w:val="0"/>
              <w:widowControl w:val="0"/>
              <w:kinsoku/>
              <w:wordWrap w:val="0"/>
              <w:topLinePunct w:val="0"/>
              <w:autoSpaceDE/>
              <w:autoSpaceDN/>
              <w:bidi w:val="0"/>
              <w:adjustRightInd w:val="0"/>
              <w:snapToGrid w:val="0"/>
              <w:ind w:firstLine="480" w:firstLineChars="200"/>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color w:val="000000"/>
              </w:rPr>
              <w:t>（</w:t>
            </w:r>
            <w:r>
              <w:rPr>
                <w:rFonts w:hint="eastAsia" w:ascii="仿宋_GB2312" w:hAnsi="仿宋_GB2312" w:eastAsia="仿宋_GB2312" w:cs="仿宋_GB2312"/>
                <w:b w:val="0"/>
                <w:color w:val="000000"/>
                <w:lang w:eastAsia="zh-CN"/>
              </w:rPr>
              <w:t>三</w:t>
            </w:r>
            <w:r>
              <w:rPr>
                <w:rFonts w:hint="eastAsia" w:ascii="仿宋_GB2312" w:hAnsi="仿宋_GB2312" w:eastAsia="仿宋_GB2312" w:cs="仿宋_GB2312"/>
                <w:b w:val="0"/>
                <w:color w:val="000000"/>
              </w:rPr>
              <w:t>）</w:t>
            </w:r>
            <w:r>
              <w:rPr>
                <w:rFonts w:hint="eastAsia" w:ascii="仿宋_GB2312" w:hAnsi="仿宋_GB2312" w:eastAsia="仿宋_GB2312" w:cs="仿宋_GB2312"/>
                <w:b w:val="0"/>
                <w:color w:val="000000"/>
                <w:lang w:eastAsia="zh-CN"/>
              </w:rPr>
              <w:t>提交方式</w:t>
            </w:r>
          </w:p>
          <w:p w14:paraId="2EE2842B">
            <w:pPr>
              <w:keepNext w:val="0"/>
              <w:keepLines w:val="0"/>
              <w:pageBreakBefore w:val="0"/>
              <w:widowControl w:val="0"/>
              <w:kinsoku/>
              <w:wordWrap w:val="0"/>
              <w:topLinePunct w:val="0"/>
              <w:autoSpaceDE/>
              <w:autoSpaceDN/>
              <w:bidi w:val="0"/>
              <w:adjustRightInd w:val="0"/>
              <w:snapToGrid w:val="0"/>
              <w:ind w:firstLine="480" w:firstLineChars="200"/>
              <w:rPr>
                <w:rFonts w:hint="eastAsia" w:ascii="仿宋_GB2312" w:hAnsi="仿宋_GB2312" w:eastAsia="仿宋_GB2312" w:cs="仿宋_GB2312"/>
                <w:b w:val="0"/>
                <w:color w:val="000000"/>
                <w:lang w:eastAsia="zh-CN"/>
              </w:rPr>
            </w:pPr>
            <w:r>
              <w:rPr>
                <w:rFonts w:hint="eastAsia"/>
                <w:lang w:val="en-US" w:eastAsia="zh-CN"/>
              </w:rPr>
              <w:t xml:space="preserve"> </w:t>
            </w:r>
            <w:r>
              <w:rPr>
                <w:rFonts w:hint="eastAsia" w:ascii="仿宋_GB2312" w:hAnsi="仿宋_GB2312" w:eastAsia="仿宋_GB2312" w:cs="仿宋_GB2312"/>
                <w:b w:val="0"/>
                <w:color w:val="000000"/>
                <w:lang w:eastAsia="zh-CN"/>
              </w:rPr>
              <w:t xml:space="preserve">除配合竞赛主办方安排外还需线上提交相关材料： </w:t>
            </w:r>
          </w:p>
          <w:p w14:paraId="2420FBEC">
            <w:pPr>
              <w:keepNext w:val="0"/>
              <w:keepLines w:val="0"/>
              <w:pageBreakBefore w:val="0"/>
              <w:widowControl w:val="0"/>
              <w:kinsoku/>
              <w:wordWrap w:val="0"/>
              <w:topLinePunct w:val="0"/>
              <w:autoSpaceDE/>
              <w:autoSpaceDN/>
              <w:bidi w:val="0"/>
              <w:adjustRightInd w:val="0"/>
              <w:snapToGrid w:val="0"/>
              <w:ind w:firstLine="480" w:firstLineChars="200"/>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color w:val="000000"/>
                <w:lang w:eastAsia="zh-CN"/>
              </w:rPr>
              <w:t xml:space="preserve"> - 作品方案：Word版（。docx后缀）、PDF版（加盖学校团委/创新创业部门公章扫描件）；</w:t>
            </w:r>
          </w:p>
          <w:p w14:paraId="39F56230">
            <w:pPr>
              <w:keepNext w:val="0"/>
              <w:keepLines w:val="0"/>
              <w:pageBreakBefore w:val="0"/>
              <w:widowControl w:val="0"/>
              <w:kinsoku/>
              <w:wordWrap w:val="0"/>
              <w:topLinePunct w:val="0"/>
              <w:autoSpaceDE/>
              <w:autoSpaceDN/>
              <w:bidi w:val="0"/>
              <w:adjustRightInd w:val="0"/>
              <w:snapToGrid w:val="0"/>
              <w:ind w:firstLine="480" w:firstLineChars="200"/>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color w:val="000000"/>
                <w:lang w:eastAsia="zh-CN"/>
              </w:rPr>
              <w:t xml:space="preserve"> - 佐证材料合集：PDF版，按“资质证明→知识产权证明→运营材料→财务材料→其他”分类整理；</w:t>
            </w:r>
          </w:p>
          <w:p w14:paraId="2DB3D601">
            <w:pPr>
              <w:keepNext w:val="0"/>
              <w:keepLines w:val="0"/>
              <w:pageBreakBefore w:val="0"/>
              <w:widowControl w:val="0"/>
              <w:kinsoku/>
              <w:wordWrap w:val="0"/>
              <w:topLinePunct w:val="0"/>
              <w:autoSpaceDE/>
              <w:autoSpaceDN/>
              <w:bidi w:val="0"/>
              <w:adjustRightInd w:val="0"/>
              <w:snapToGrid w:val="0"/>
              <w:ind w:firstLine="480" w:firstLineChars="200"/>
              <w:rPr>
                <w:rFonts w:hint="eastAsia" w:eastAsia="仿宋_GB2312"/>
                <w:lang w:val="en-US" w:eastAsia="zh-CN"/>
              </w:rPr>
            </w:pPr>
            <w:r>
              <w:rPr>
                <w:rFonts w:hint="eastAsia" w:ascii="仿宋_GB2312" w:hAnsi="仿宋_GB2312" w:eastAsia="仿宋_GB2312" w:cs="仿宋_GB2312"/>
                <w:b w:val="0"/>
                <w:color w:val="000000"/>
                <w:lang w:eastAsia="zh-CN"/>
              </w:rPr>
              <w:t xml:space="preserve"> - 展示材料：项目PPT（15-20页，突出核心信息，用于预赛/复赛展示）。</w:t>
            </w:r>
          </w:p>
        </w:tc>
      </w:tr>
      <w:tr w14:paraId="41DB61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31DD1">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51B4ED5B">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E46E1">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lang w:eastAsia="zh-CN"/>
              </w:rPr>
            </w:pPr>
            <w:r>
              <w:rPr>
                <w:rFonts w:hint="eastAsia" w:ascii="仿宋_GB2312" w:hAnsi="仿宋_GB2312" w:eastAsia="仿宋_GB2312" w:cs="仿宋_GB2312"/>
                <w:b w:val="0"/>
                <w:bCs/>
                <w:color w:val="000000"/>
                <w:spacing w:val="6"/>
                <w:szCs w:val="28"/>
                <w:u w:val="none"/>
              </w:rPr>
              <w:t>评审工作围绕“创新性、可行性、团队性、社会价值、规范性”五大核心维度开展</w:t>
            </w:r>
            <w:r>
              <w:rPr>
                <w:rFonts w:hint="eastAsia" w:ascii="仿宋_GB2312" w:hAnsi="仿宋_GB2312" w:eastAsia="仿宋_GB2312" w:cs="仿宋_GB2312"/>
                <w:b w:val="0"/>
                <w:bCs/>
                <w:color w:val="000000"/>
                <w:spacing w:val="6"/>
                <w:szCs w:val="28"/>
                <w:u w:val="none"/>
                <w:lang w:eastAsia="zh-CN"/>
              </w:rPr>
              <w:t>，</w:t>
            </w:r>
          </w:p>
          <w:p w14:paraId="1C950059">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lang w:eastAsia="zh-CN"/>
              </w:rPr>
            </w:pPr>
            <w:r>
              <w:rPr>
                <w:rFonts w:hint="eastAsia" w:ascii="仿宋_GB2312" w:hAnsi="仿宋_GB2312" w:eastAsia="仿宋_GB2312" w:cs="仿宋_GB2312"/>
                <w:b w:val="0"/>
                <w:bCs/>
                <w:color w:val="000000"/>
                <w:spacing w:val="6"/>
                <w:szCs w:val="28"/>
                <w:u w:val="none"/>
                <w:lang w:eastAsia="zh-CN"/>
              </w:rPr>
              <w:t>- 优秀（晋级/获奖级）：无任何合规性问题；</w:t>
            </w:r>
          </w:p>
          <w:p w14:paraId="48099B18">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lang w:eastAsia="zh-CN"/>
              </w:rPr>
            </w:pPr>
            <w:r>
              <w:rPr>
                <w:rFonts w:hint="eastAsia" w:ascii="仿宋_GB2312" w:hAnsi="仿宋_GB2312" w:eastAsia="仿宋_GB2312" w:cs="仿宋_GB2312"/>
                <w:b w:val="0"/>
                <w:bCs/>
                <w:color w:val="000000"/>
                <w:spacing w:val="6"/>
                <w:szCs w:val="28"/>
                <w:u w:val="none"/>
                <w:lang w:eastAsia="zh-CN"/>
              </w:rPr>
              <w:t>- 良好（合格晋级级）：无重大合规性问题；</w:t>
            </w:r>
          </w:p>
          <w:p w14:paraId="6B89ED72">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lang w:eastAsia="zh-CN"/>
              </w:rPr>
            </w:pPr>
            <w:r>
              <w:rPr>
                <w:rFonts w:hint="eastAsia" w:ascii="仿宋_GB2312" w:hAnsi="仿宋_GB2312" w:eastAsia="仿宋_GB2312" w:cs="仿宋_GB2312"/>
                <w:b w:val="0"/>
                <w:bCs/>
                <w:color w:val="000000"/>
                <w:spacing w:val="6"/>
                <w:szCs w:val="28"/>
                <w:u w:val="none"/>
                <w:lang w:eastAsia="zh-CN"/>
              </w:rPr>
              <w:t>- 中等（基本合格级）：无重大合规性问题，但存在部分模块薄弱或格式瑕疵；</w:t>
            </w:r>
          </w:p>
          <w:p w14:paraId="0FC8D72D">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lang w:eastAsia="zh-CN"/>
              </w:rPr>
            </w:pPr>
            <w:r>
              <w:rPr>
                <w:rFonts w:hint="eastAsia" w:ascii="仿宋_GB2312" w:hAnsi="仿宋_GB2312" w:eastAsia="仿宋_GB2312" w:cs="仿宋_GB2312"/>
                <w:b w:val="0"/>
                <w:bCs/>
                <w:color w:val="000000"/>
                <w:spacing w:val="6"/>
                <w:szCs w:val="28"/>
                <w:u w:val="none"/>
                <w:lang w:eastAsia="zh-CN"/>
              </w:rPr>
              <w:t>- 较差（不合格级）：存在重大合规性问题（如剽窃、虚假材料、跨类申报等），直接取消评审资格或判定为不合格。</w:t>
            </w:r>
          </w:p>
        </w:tc>
      </w:tr>
      <w:tr w14:paraId="3BCD08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4EF8D7F">
            <w:pPr>
              <w:keepNext w:val="0"/>
              <w:keepLines w:val="0"/>
              <w:pageBreakBefore w:val="0"/>
              <w:widowControl w:val="0"/>
              <w:kinsoku/>
              <w:wordWrap w:val="0"/>
              <w:overflowPunct w:val="0"/>
              <w:topLinePunct w:val="0"/>
              <w:autoSpaceDE/>
              <w:autoSpaceDN/>
              <w:bidi w:val="0"/>
              <w:adjustRightInd w:val="0"/>
              <w:snapToGrid w:val="0"/>
              <w:spacing w:line="240" w:lineRule="auto"/>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43ABE28">
            <w:pPr>
              <w:keepNext w:val="0"/>
              <w:keepLines w:val="0"/>
              <w:pageBreakBefore w:val="0"/>
              <w:widowControl w:val="0"/>
              <w:kinsoku/>
              <w:wordWrap w:val="0"/>
              <w:overflowPunct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1.本要求为竞赛作品核心要求，竞赛具体细则以官方发布的通知为准，若有冲突，按通知执行；</w:t>
            </w:r>
          </w:p>
          <w:p w14:paraId="26E10C4D">
            <w:pPr>
              <w:keepNext w:val="0"/>
              <w:keepLines w:val="0"/>
              <w:pageBreakBefore w:val="0"/>
              <w:widowControl w:val="0"/>
              <w:kinsoku/>
              <w:wordWrap w:val="0"/>
              <w:overflowPunct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2.参赛团队需认真研读本要求，严格按规范备赛、提报，如有疑问可咨询学校牵头部门或竞赛组委会；</w:t>
            </w:r>
          </w:p>
          <w:p w14:paraId="6F8C6A9F">
            <w:pPr>
              <w:pStyle w:val="3"/>
              <w:keepNext w:val="0"/>
              <w:keepLines w:val="0"/>
              <w:pageBreakBefore w:val="0"/>
              <w:widowControl w:val="0"/>
              <w:kinsoku/>
              <w:wordWrap w:val="0"/>
              <w:topLinePunct w:val="0"/>
              <w:autoSpaceDE/>
              <w:autoSpaceDN/>
              <w:bidi w:val="0"/>
              <w:textAlignment w:val="auto"/>
              <w:rPr>
                <w:rFonts w:hint="default" w:eastAsia="仿宋_GB2312"/>
                <w:lang w:val="en-US" w:eastAsia="zh-CN"/>
              </w:rPr>
            </w:pPr>
            <w:r>
              <w:rPr>
                <w:rFonts w:hint="eastAsia" w:ascii="仿宋_GB2312" w:hAnsi="仿宋_GB2312" w:eastAsia="仿宋_GB2312" w:cs="仿宋_GB2312"/>
                <w:b w:val="0"/>
                <w:bCs/>
                <w:color w:val="000000"/>
                <w:spacing w:val="6"/>
                <w:szCs w:val="28"/>
                <w:lang w:val="en-US" w:eastAsia="zh-CN"/>
              </w:rPr>
              <w:t xml:space="preserve">    3.本选题最终解释权归兴寿镇人民政府所有。</w:t>
            </w:r>
          </w:p>
        </w:tc>
      </w:tr>
    </w:tbl>
    <w:p w14:paraId="0BE04C40">
      <w:pPr>
        <w:keepNext w:val="0"/>
        <w:keepLines w:val="0"/>
        <w:pageBreakBefore w:val="0"/>
        <w:widowControl w:val="0"/>
        <w:tabs>
          <w:tab w:val="left" w:pos="8640"/>
        </w:tabs>
        <w:kinsoku/>
        <w:wordWrap w:val="0"/>
        <w:topLinePunct w:val="0"/>
        <w:autoSpaceDE/>
        <w:autoSpaceDN/>
        <w:bidi w:val="0"/>
        <w:adjustRightInd w:val="0"/>
        <w:snapToGrid w:val="0"/>
        <w:spacing w:line="440" w:lineRule="exact"/>
        <w:textAlignment w:val="auto"/>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C0F2C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5B0CF4F">
            <w:pPr>
              <w:keepNext w:val="0"/>
              <w:keepLines w:val="0"/>
              <w:pageBreakBefore w:val="0"/>
              <w:widowControl w:val="0"/>
              <w:kinsoku/>
              <w:wordWrap w:val="0"/>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074D1FA">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可为参赛团队提供的指导帮助等，比如参观应用场景、实践调研、提供可供参考的研究材料等，在参赛期间共提供</w:t>
            </w:r>
            <w:r>
              <w:rPr>
                <w:rFonts w:hint="eastAsia" w:ascii="仿宋_GB2312" w:hAnsi="仿宋_GB2312" w:eastAsia="仿宋_GB2312" w:cs="仿宋_GB2312"/>
                <w:b w:val="0"/>
                <w:bCs/>
                <w:color w:val="000000"/>
                <w:spacing w:val="6"/>
                <w:szCs w:val="28"/>
                <w:lang w:eastAsia="zh-CN"/>
              </w:rPr>
              <w:t>全体</w:t>
            </w:r>
            <w:r>
              <w:rPr>
                <w:rFonts w:hint="eastAsia" w:ascii="仿宋_GB2312" w:hAnsi="仿宋_GB2312" w:eastAsia="仿宋_GB2312" w:cs="仿宋_GB2312"/>
                <w:b w:val="0"/>
                <w:bCs/>
                <w:color w:val="000000"/>
                <w:spacing w:val="6"/>
                <w:szCs w:val="28"/>
              </w:rPr>
              <w:t>三次指导机会。同时建议参赛团队前往兴寿镇乡村振兴示范提升村实地工作学习。</w:t>
            </w:r>
          </w:p>
        </w:tc>
      </w:tr>
      <w:tr w14:paraId="569403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2DFF4BD">
            <w:pPr>
              <w:keepNext w:val="0"/>
              <w:keepLines w:val="0"/>
              <w:pageBreakBefore w:val="0"/>
              <w:widowControl w:val="0"/>
              <w:kinsoku/>
              <w:wordWrap w:val="0"/>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8CAB5FE">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一、奖项设置</w:t>
            </w:r>
          </w:p>
          <w:p w14:paraId="45DBFAC3">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原则上设“擂主”团队1个，根据实际情况评出相应的特等奖、一等奖、二等奖、三等奖项目若干。在获得奖项的团队中选择一个作为“擂主”，进行后期的创业实践。</w:t>
            </w:r>
          </w:p>
          <w:p w14:paraId="6A5A8A46">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二、激励措施</w:t>
            </w:r>
          </w:p>
          <w:p w14:paraId="60120CCA">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可为获特等奖、一等奖团队成员提供全员深入乡村振兴示范提升村实习实践机会，为二等奖及三等奖的团队长同样提供前往乡村振兴示范提升村实习实践机会。</w:t>
            </w:r>
          </w:p>
        </w:tc>
      </w:tr>
    </w:tbl>
    <w:p w14:paraId="11EE57CE">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2ED958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FD2A446">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88DDA">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探索兴寿镇辛庄村多元业态发展的技术意义，核心在于以技术赋能农业提质，筑牢业态根基；打破业态壁垒，实现农文旅等多领域协同；优化运营与体验，提升产业竞争力。同时为同类乡村产业振兴提供可复制的技术应用范式，兼具实践与参考价值。</w:t>
            </w:r>
          </w:p>
        </w:tc>
      </w:tr>
      <w:tr w14:paraId="5DE3F6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75B96B">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E9D60">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预计经济效益显著，通过草莓种植、创客经营、文旅休闲等多元业态融合，可持续扩大客流量与消费规模，带动村集体增收、村民致富，拓宽租金、务工、农产品销售等增收渠道，吸引社会资本注入，激活乡村经济内生动力。社会效益方面，将进一步优化人居环境，完善基础设施，促进新老村民共生共荣，吸引人才回流，传承乡村文化，推动乡风文明与基层治理提升，打造京郊乡村振兴示范样板，为同类村庄发展提供可复制经验。</w:t>
            </w:r>
          </w:p>
        </w:tc>
      </w:tr>
    </w:tbl>
    <w:p w14:paraId="36726075">
      <w:pPr>
        <w:keepNext w:val="0"/>
        <w:keepLines w:val="0"/>
        <w:pageBreakBefore w:val="0"/>
        <w:widowControl w:val="0"/>
        <w:kinsoku/>
        <w:wordWrap w:val="0"/>
        <w:topLinePunct w:val="0"/>
        <w:autoSpaceDE/>
        <w:autoSpaceDN/>
        <w:bidi w:val="0"/>
        <w:textAlignment w:val="auto"/>
        <w:rPr>
          <w:rFonts w:hint="eastAsia" w:ascii="楷体_GB2312" w:hAnsi="楷体_GB2312" w:eastAsia="楷体_GB2312" w:cs="楷体_GB2312"/>
          <w:color w:val="auto"/>
        </w:rPr>
      </w:pPr>
      <w:r>
        <w:rPr>
          <w:rFonts w:hint="eastAsia" w:ascii="楷体_GB2312" w:hAnsi="楷体_GB2312" w:eastAsia="楷体_GB2312" w:cs="楷体_GB2312"/>
          <w:color w:val="auto"/>
        </w:rPr>
        <w:br w:type="page"/>
      </w:r>
    </w:p>
    <w:p w14:paraId="0ACD556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53AA965D">
      <w:pPr>
        <w:widowControl w:val="0"/>
        <w:tabs>
          <w:tab w:val="left" w:pos="8640"/>
        </w:tabs>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—19</w:t>
      </w:r>
    </w:p>
    <w:p w14:paraId="19A5AA60">
      <w:pPr>
        <w:keepNext w:val="0"/>
        <w:keepLines w:val="0"/>
        <w:pageBreakBefore w:val="0"/>
        <w:widowControl w:val="0"/>
        <w:tabs>
          <w:tab w:val="left" w:pos="8640"/>
        </w:tabs>
        <w:kinsoku/>
        <w:wordWrap w:val="0"/>
        <w:overflowPunct/>
        <w:topLinePunct w:val="0"/>
        <w:autoSpaceDE/>
        <w:autoSpaceDN/>
        <w:bidi w:val="0"/>
        <w:adjustRightInd w:val="0"/>
        <w:snapToGrid w:val="0"/>
        <w:spacing w:line="240" w:lineRule="auto"/>
        <w:textAlignment w:val="auto"/>
        <w:rPr>
          <w:rFonts w:ascii="方正黑体简体" w:eastAsia="方正黑体简体"/>
          <w:bCs/>
          <w:color w:val="auto"/>
          <w:spacing w:val="6"/>
          <w:sz w:val="21"/>
          <w:szCs w:val="21"/>
        </w:rPr>
      </w:pPr>
    </w:p>
    <w:p w14:paraId="7A48C6ED">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0132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1811A732">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161C7F5B">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北京市大兴区榆垡镇人民政府</w:t>
            </w:r>
          </w:p>
        </w:tc>
      </w:tr>
      <w:tr w14:paraId="2162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EB1C6CE">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02350FC9">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街道乡镇</w:t>
            </w:r>
          </w:p>
        </w:tc>
      </w:tr>
      <w:tr w14:paraId="23CF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3B58B131">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3E278903">
            <w:pPr>
              <w:keepNext w:val="0"/>
              <w:keepLines w:val="0"/>
              <w:pageBreakBefore w:val="0"/>
              <w:widowControl w:val="0"/>
              <w:kinsoku/>
              <w:wordWrap w:val="0"/>
              <w:topLinePunct w:val="0"/>
              <w:autoSpaceDE/>
              <w:autoSpaceDN/>
              <w:bidi w:val="0"/>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北京市大兴区榆垡镇今荣街69号</w:t>
            </w:r>
          </w:p>
        </w:tc>
      </w:tr>
      <w:tr w14:paraId="3C3A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7825AF69">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53BE4468">
            <w:pPr>
              <w:keepNext w:val="0"/>
              <w:keepLines w:val="0"/>
              <w:pageBreakBefore w:val="0"/>
              <w:widowControl w:val="0"/>
              <w:kinsoku/>
              <w:wordWrap w:val="0"/>
              <w:topLinePunct w:val="0"/>
              <w:autoSpaceDE/>
              <w:autoSpaceDN/>
              <w:bidi w:val="0"/>
              <w:adjustRightInd w:val="0"/>
              <w:snapToGrid w:val="0"/>
              <w:ind w:firstLine="504" w:firstLineChars="200"/>
              <w:jc w:val="left"/>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榆垡镇地处大兴区南部，紧邻北京大兴国际机场，是大兴国际旅游度假区核心承载地。镇域面积136平方公里，下辖34个行政村、16个社区。依托机场枢纽优势与生态资源禀赋，正全力推进国际旅游度假区建设，重点发展文旅融合、智慧服务等产业，打造京津冀区域文旅新地标。</w:t>
            </w:r>
          </w:p>
        </w:tc>
      </w:tr>
      <w:tr w14:paraId="2591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093715F2">
            <w:pPr>
              <w:keepNext w:val="0"/>
              <w:keepLines w:val="0"/>
              <w:pageBreakBefore w:val="0"/>
              <w:widowControl w:val="0"/>
              <w:kinsoku/>
              <w:wordWrap w:val="0"/>
              <w:topLinePunct w:val="0"/>
              <w:autoSpaceDE/>
              <w:autoSpaceDN/>
              <w:bidi w:val="0"/>
              <w:adjustRightInd w:val="0"/>
              <w:snapToGrid w:val="0"/>
              <w:ind w:firstLine="280" w:firstLineChars="100"/>
              <w:jc w:val="both"/>
              <w:rPr>
                <w:rFonts w:hint="eastAsia" w:ascii="楷体_GB2312" w:hAnsi="楷体_GB2312" w:eastAsia="楷体_GB2312" w:cs="楷体_GB2312"/>
                <w:bCs/>
                <w:color w:val="auto"/>
                <w:spacing w:val="6"/>
                <w:szCs w:val="28"/>
                <w:highlight w:val="none"/>
              </w:rPr>
            </w:pPr>
            <w:r>
              <w:rPr>
                <w:rFonts w:hint="eastAsia" w:ascii="楷体_GB2312" w:hAnsi="楷体_GB2312" w:eastAsia="楷体_GB2312" w:cs="楷体_GB2312"/>
                <w:color w:val="auto"/>
                <w:sz w:val="28"/>
                <w:szCs w:val="32"/>
                <w:highlight w:val="none"/>
                <w:lang w:val="en-US"/>
              </w:rPr>
              <w:t>联系人</w:t>
            </w:r>
          </w:p>
        </w:tc>
        <w:tc>
          <w:tcPr>
            <w:tcW w:w="3076" w:type="dxa"/>
            <w:vAlign w:val="center"/>
          </w:tcPr>
          <w:p w14:paraId="462E5ADB">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王文鑫</w:t>
            </w:r>
          </w:p>
        </w:tc>
        <w:tc>
          <w:tcPr>
            <w:tcW w:w="1073" w:type="dxa"/>
            <w:vAlign w:val="center"/>
          </w:tcPr>
          <w:p w14:paraId="06BEAF04">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楷体_GB2312" w:hAnsi="楷体_GB2312" w:eastAsia="楷体_GB2312" w:cs="楷体_GB2312"/>
                <w:color w:val="auto"/>
                <w:sz w:val="28"/>
                <w:szCs w:val="32"/>
                <w:highlight w:val="none"/>
                <w:lang w:val="en-US" w:eastAsia="zh-CN"/>
              </w:rPr>
              <w:t>职务</w:t>
            </w:r>
          </w:p>
        </w:tc>
        <w:tc>
          <w:tcPr>
            <w:tcW w:w="2783" w:type="dxa"/>
            <w:vAlign w:val="center"/>
          </w:tcPr>
          <w:p w14:paraId="29D1D471">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团建督导员</w:t>
            </w:r>
          </w:p>
        </w:tc>
      </w:tr>
      <w:tr w14:paraId="3323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19A8D5C9">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highlight w:val="none"/>
                <w:lang w:val="en-US" w:eastAsia="zh-CN"/>
              </w:rPr>
            </w:pPr>
            <w:r>
              <w:rPr>
                <w:rFonts w:hint="eastAsia" w:ascii="楷体_GB2312" w:hAnsi="楷体_GB2312" w:eastAsia="楷体_GB2312" w:cs="楷体_GB2312"/>
                <w:color w:val="auto"/>
                <w:sz w:val="28"/>
                <w:szCs w:val="32"/>
                <w:highlight w:val="none"/>
                <w:lang w:val="en-US" w:eastAsia="zh-CN"/>
              </w:rPr>
              <w:t>联系方式</w:t>
            </w:r>
          </w:p>
        </w:tc>
        <w:tc>
          <w:tcPr>
            <w:tcW w:w="3076" w:type="dxa"/>
            <w:vAlign w:val="center"/>
          </w:tcPr>
          <w:p w14:paraId="5D6DFCD7">
            <w:pPr>
              <w:keepNext w:val="0"/>
              <w:keepLines w:val="0"/>
              <w:pageBreakBefore w:val="0"/>
              <w:widowControl w:val="0"/>
              <w:kinsoku/>
              <w:wordWrap w:val="0"/>
              <w:topLinePunct w:val="0"/>
              <w:autoSpaceDE/>
              <w:autoSpaceDN/>
              <w:bidi w:val="0"/>
              <w:adjustRightInd w:val="0"/>
              <w:snapToGrid w:val="0"/>
              <w:jc w:val="center"/>
              <w:rPr>
                <w:rFonts w:hint="default" w:ascii="仿宋_GB2312" w:hAnsi="仿宋_GB2312" w:eastAsia="仿宋_GB2312" w:cs="仿宋_GB2312"/>
                <w:bCs/>
                <w:color w:val="auto"/>
                <w:spacing w:val="6"/>
                <w:szCs w:val="28"/>
                <w:lang w:val="en-US" w:eastAsia="zh-CN"/>
              </w:rPr>
            </w:pPr>
            <w:r>
              <w:rPr>
                <w:rFonts w:hint="default" w:ascii="Times New Roman" w:hAnsi="Times New Roman" w:eastAsia="仿宋_GB2312" w:cs="Times New Roman"/>
                <w:bCs/>
                <w:color w:val="auto"/>
                <w:spacing w:val="6"/>
                <w:szCs w:val="28"/>
                <w:lang w:val="en-US" w:eastAsia="zh-CN"/>
              </w:rPr>
              <w:t>13121713626</w:t>
            </w:r>
          </w:p>
        </w:tc>
        <w:tc>
          <w:tcPr>
            <w:tcW w:w="1073" w:type="dxa"/>
            <w:vAlign w:val="center"/>
          </w:tcPr>
          <w:p w14:paraId="7EDDC737">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楷体_GB2312" w:hAnsi="楷体_GB2312" w:eastAsia="楷体_GB2312" w:cs="楷体_GB2312"/>
                <w:color w:val="auto"/>
                <w:sz w:val="28"/>
                <w:szCs w:val="32"/>
                <w:highlight w:val="none"/>
                <w:lang w:val="en-US" w:eastAsia="zh-CN"/>
              </w:rPr>
              <w:t>微信</w:t>
            </w:r>
          </w:p>
        </w:tc>
        <w:tc>
          <w:tcPr>
            <w:tcW w:w="2783" w:type="dxa"/>
            <w:vAlign w:val="center"/>
          </w:tcPr>
          <w:p w14:paraId="34A9BE31">
            <w:pPr>
              <w:keepNext w:val="0"/>
              <w:keepLines w:val="0"/>
              <w:pageBreakBefore w:val="0"/>
              <w:widowControl w:val="0"/>
              <w:kinsoku/>
              <w:wordWrap w:val="0"/>
              <w:topLinePunct w:val="0"/>
              <w:autoSpaceDE/>
              <w:autoSpaceDN/>
              <w:bidi w:val="0"/>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Times New Roman" w:hAnsi="Times New Roman" w:eastAsia="仿宋_GB2312" w:cs="Times New Roman"/>
                <w:bCs/>
                <w:color w:val="auto"/>
                <w:spacing w:val="6"/>
                <w:szCs w:val="28"/>
                <w:lang w:val="en-US" w:eastAsia="zh-CN"/>
              </w:rPr>
              <w:t>13121713626</w:t>
            </w:r>
          </w:p>
        </w:tc>
      </w:tr>
    </w:tbl>
    <w:p w14:paraId="56285FBD">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1ADE86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909D07B">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45D8F32">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AI驱动文旅场景智慧运营与服务升级整体方案</w:t>
            </w:r>
          </w:p>
        </w:tc>
      </w:tr>
      <w:tr w14:paraId="4812C0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DEE79AD">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86DE8BA">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rPr>
              <w:t xml:space="preserve">新一代信息技术、人工智能、文旅融合、社会科学（公共管理方向） </w:t>
            </w:r>
          </w:p>
        </w:tc>
      </w:tr>
      <w:tr w14:paraId="0C24D4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9E4195B">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D600368">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rPr>
              <w:t xml:space="preserve">榆垡镇正全力打造大兴国际旅游度假区，当前景区管理面临客流调控、服务升级、安全防控、生态保护等多重挑战。需求：需构建一套适配度假区发展的AI+智慧管理方案，覆盖客流预测调度、智能服务供给、安全风险预警、生态动态监测等核心场景。应用：方案落地后将直接应用于度假区运营管理，提升服务效率与游客体验，助力度假区规模化、高品质发展。本选题聚焦实际应用需求，无成熟解决方案，符合大学生创新攻关特点，可充分调动信息技术、文旅管理等专业学生参与积极性。 </w:t>
            </w:r>
          </w:p>
        </w:tc>
      </w:tr>
      <w:tr w14:paraId="184DF0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51B6BFB">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4B0373F">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bCs/>
                <w:color w:val="000000"/>
                <w:spacing w:val="6"/>
                <w:szCs w:val="28"/>
                <w:lang w:val="en-US"/>
              </w:rPr>
              <w:t xml:space="preserve">  1.方案需包含需求分析、技术架构、核心功能模块、实施路径、预期效果五部分，逻辑清晰、可操作性强；2.需明确AI技术选型（如机器学习、计算机视觉、自然语言处理等）及应用场景落地细节；3.提交形式为Word版方案报告（附PPT演示文稿）</w:t>
            </w:r>
            <w:r>
              <w:rPr>
                <w:rFonts w:hint="eastAsia" w:ascii="仿宋_GB2312" w:hAnsi="仿宋_GB2312" w:eastAsia="仿宋_GB2312" w:cs="仿宋_GB2312"/>
                <w:b w:val="0"/>
                <w:bCs/>
                <w:color w:val="000000"/>
                <w:spacing w:val="6"/>
                <w:szCs w:val="28"/>
                <w:lang w:val="en-US" w:eastAsia="zh-CN"/>
              </w:rPr>
              <w:t>。</w:t>
            </w:r>
          </w:p>
        </w:tc>
      </w:tr>
      <w:tr w14:paraId="521368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C94F9">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0127F39E">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2CF0D">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lang w:val="en-US"/>
              </w:rPr>
              <w:t xml:space="preserve"> 1.技术创新性（30%）：AI技术应用场景的创新性、技术选型的合理性与先进性；2.实践可行性（30%）：方案贴合度假区实际需求，实施成本可控，落地难度适中；3.功能完整性（20%）：覆盖客流、服务、安全、生态等核心管理场景，功能设计全面；4.效益显著性（20%）：预期经济社会效益明确，可量化指标清晰（如客流预测准确率、服务响应效率提升比例等）。 </w:t>
            </w:r>
          </w:p>
        </w:tc>
      </w:tr>
      <w:tr w14:paraId="75D80D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10069E7">
            <w:pPr>
              <w:keepNext w:val="0"/>
              <w:keepLines w:val="0"/>
              <w:pageBreakBefore w:val="0"/>
              <w:widowControl w:val="0"/>
              <w:kinsoku/>
              <w:wordWrap w:val="0"/>
              <w:overflowPunct w:val="0"/>
              <w:topLinePunct w:val="0"/>
              <w:autoSpaceDE/>
              <w:autoSpaceDN/>
              <w:bidi w:val="0"/>
              <w:adjustRightInd w:val="0"/>
              <w:snapToGrid w:val="0"/>
              <w:spacing w:line="240" w:lineRule="auto"/>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F21E382">
            <w:pPr>
              <w:keepNext w:val="0"/>
              <w:keepLines w:val="0"/>
              <w:pageBreakBefore w:val="0"/>
              <w:widowControl w:val="0"/>
              <w:kinsoku/>
              <w:wordWrap w:val="0"/>
              <w:overflowPunct w:val="0"/>
              <w:topLinePunct w:val="0"/>
              <w:autoSpaceDE/>
              <w:autoSpaceDN/>
              <w:bidi w:val="0"/>
              <w:adjustRightInd w:val="0"/>
              <w:snapToGrid w:val="0"/>
              <w:ind w:firstLine="480"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color w:val="000000"/>
                <w:u w:val="none"/>
              </w:rPr>
              <w:t xml:space="preserve">1.参赛团队可申请实地调研榆垡镇拟打造的度假区核心区域；2.方案需兼顾技术落地性与成本控制，避免过度依赖高投入硬件设备。 </w:t>
            </w:r>
          </w:p>
        </w:tc>
      </w:tr>
    </w:tbl>
    <w:p w14:paraId="4FA68CEB">
      <w:pPr>
        <w:keepNext w:val="0"/>
        <w:keepLines w:val="0"/>
        <w:pageBreakBefore w:val="0"/>
        <w:widowControl w:val="0"/>
        <w:tabs>
          <w:tab w:val="left" w:pos="8640"/>
        </w:tabs>
        <w:kinsoku/>
        <w:wordWrap w:val="0"/>
        <w:topLinePunct w:val="0"/>
        <w:autoSpaceDE/>
        <w:autoSpaceDN/>
        <w:bidi w:val="0"/>
        <w:adjustRightInd w:val="0"/>
        <w:snapToGrid w:val="0"/>
        <w:spacing w:line="440" w:lineRule="exact"/>
        <w:textAlignment w:val="auto"/>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289EA0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48C8279">
            <w:pPr>
              <w:keepNext w:val="0"/>
              <w:keepLines w:val="0"/>
              <w:pageBreakBefore w:val="0"/>
              <w:widowControl w:val="0"/>
              <w:kinsoku/>
              <w:wordWrap w:val="0"/>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6220F65">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val="en-US" w:eastAsia="zh-CN"/>
              </w:rPr>
              <w:t>为参赛团队提供相关资料信息，</w:t>
            </w:r>
            <w:r>
              <w:rPr>
                <w:rFonts w:hint="eastAsia" w:ascii="仿宋_GB2312" w:hAnsi="仿宋_GB2312" w:eastAsia="仿宋_GB2312" w:cs="仿宋_GB2312"/>
                <w:b w:val="0"/>
                <w:bCs/>
                <w:color w:val="000000"/>
                <w:spacing w:val="6"/>
                <w:szCs w:val="28"/>
                <w:lang w:val="en-US"/>
              </w:rPr>
              <w:t>协助对接景区管理处、运维部门等相关主体；</w:t>
            </w:r>
            <w:r>
              <w:rPr>
                <w:rFonts w:hint="eastAsia" w:ascii="仿宋_GB2312" w:hAnsi="仿宋_GB2312" w:eastAsia="仿宋_GB2312" w:cs="仿宋_GB2312"/>
                <w:b w:val="0"/>
                <w:bCs/>
                <w:color w:val="000000"/>
                <w:spacing w:val="6"/>
                <w:szCs w:val="28"/>
                <w:lang w:val="en-US" w:eastAsia="zh-CN"/>
              </w:rPr>
              <w:t>配备专门指导人员。</w:t>
            </w:r>
          </w:p>
        </w:tc>
      </w:tr>
      <w:tr w14:paraId="23D5B4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6546C5D">
            <w:pPr>
              <w:keepNext w:val="0"/>
              <w:keepLines w:val="0"/>
              <w:pageBreakBefore w:val="0"/>
              <w:widowControl w:val="0"/>
              <w:kinsoku/>
              <w:wordWrap w:val="0"/>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highlight w:val="none"/>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429D115">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一、奖项设置</w:t>
            </w:r>
          </w:p>
          <w:p w14:paraId="68855608">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原则上设“擂主”团队1个，根据实际情况评出相应的特等奖、一等奖、二等奖、三等奖项目若干</w:t>
            </w:r>
          </w:p>
          <w:p w14:paraId="33FE8253">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二、激励措施</w:t>
            </w:r>
          </w:p>
          <w:p w14:paraId="7267BF76">
            <w:pPr>
              <w:keepNext w:val="0"/>
              <w:keepLines w:val="0"/>
              <w:pageBreakBefore w:val="0"/>
              <w:widowControl w:val="0"/>
              <w:kinsoku/>
              <w:wordWrap w:val="0"/>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为获奖者提供本单位实习实践机会。</w:t>
            </w:r>
          </w:p>
        </w:tc>
      </w:tr>
    </w:tbl>
    <w:p w14:paraId="6831FDAB">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8F873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9208152">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C0668">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eastAsia="zh-CN"/>
              </w:rPr>
              <w:t xml:space="preserve">该选题聚焦文旅场景AI应用，有助于突破景区大规模客流精准调度、多维度安全风险智能预警等技术瓶颈，为“AI+文旅”融合提供可复制的技术方案，推动新一代信息技术在公共服务领域的创新应用。 </w:t>
            </w:r>
          </w:p>
        </w:tc>
      </w:tr>
      <w:tr w14:paraId="6A98BA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2ECD0D">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FD934">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预期成果可提升大兴国际旅游度假区运营效率，降低管理成本，减少人力成本，</w:t>
            </w:r>
            <w:r>
              <w:rPr>
                <w:rFonts w:hint="eastAsia" w:ascii="仿宋_GB2312" w:hAnsi="仿宋_GB2312" w:eastAsia="仿宋_GB2312" w:cs="仿宋_GB2312"/>
                <w:b w:val="0"/>
                <w:bCs/>
                <w:color w:val="000000"/>
                <w:spacing w:val="6"/>
                <w:szCs w:val="28"/>
                <w:u w:val="none"/>
                <w:lang w:eastAsia="zh-CN"/>
              </w:rPr>
              <w:t>提升</w:t>
            </w:r>
            <w:r>
              <w:rPr>
                <w:rFonts w:hint="eastAsia" w:ascii="仿宋_GB2312" w:hAnsi="仿宋_GB2312" w:eastAsia="仿宋_GB2312" w:cs="仿宋_GB2312"/>
                <w:b w:val="0"/>
                <w:bCs/>
                <w:color w:val="000000"/>
                <w:spacing w:val="6"/>
                <w:szCs w:val="28"/>
                <w:u w:val="none"/>
              </w:rPr>
              <w:t xml:space="preserve">游客满意度；同时带动文旅产业数字化升级，吸引更多文旅项目落地，创造就业岗位，助力京津冀区域文旅协同发展，为乡村振兴与城市高质量发展注入新动能。 </w:t>
            </w:r>
          </w:p>
        </w:tc>
      </w:tr>
    </w:tbl>
    <w:p w14:paraId="1ADFFBE8">
      <w:pPr>
        <w:keepNext w:val="0"/>
        <w:keepLines w:val="0"/>
        <w:pageBreakBefore w:val="0"/>
        <w:widowControl w:val="0"/>
        <w:kinsoku/>
        <w:wordWrap w:val="0"/>
        <w:topLinePunct w:val="0"/>
        <w:autoSpaceDE/>
        <w:autoSpaceDN/>
        <w:bidi w:val="0"/>
        <w:textAlignment w:val="auto"/>
        <w:rPr>
          <w:rFonts w:hint="eastAsia"/>
          <w:lang w:val="en-US" w:eastAsia="zh-CN"/>
        </w:rPr>
      </w:pPr>
      <w:r>
        <w:rPr>
          <w:rFonts w:hint="eastAsia"/>
          <w:lang w:val="en-US" w:eastAsia="zh-CN"/>
        </w:rPr>
        <w:br w:type="page"/>
      </w:r>
    </w:p>
    <w:p w14:paraId="6C98CA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1D9C1B38">
      <w:pPr>
        <w:widowControl w:val="0"/>
        <w:tabs>
          <w:tab w:val="left" w:pos="8640"/>
        </w:tabs>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—2</w:t>
      </w:r>
      <w:r>
        <w:rPr>
          <w:rFonts w:hint="eastAsia" w:eastAsia="方正小标宋简体" w:cs="方正小标宋简体"/>
          <w:b w:val="0"/>
          <w:bCs/>
          <w:kern w:val="2"/>
          <w:sz w:val="44"/>
          <w:szCs w:val="32"/>
          <w:highlight w:val="none"/>
          <w:lang w:val="en-US" w:eastAsia="zh-CN"/>
        </w:rPr>
        <w:t>0</w:t>
      </w:r>
    </w:p>
    <w:p w14:paraId="0D21111E">
      <w:pPr>
        <w:keepNext w:val="0"/>
        <w:keepLines w:val="0"/>
        <w:pageBreakBefore w:val="0"/>
        <w:widowControl w:val="0"/>
        <w:tabs>
          <w:tab w:val="left" w:pos="8640"/>
        </w:tabs>
        <w:kinsoku/>
        <w:wordWrap w:val="0"/>
        <w:overflowPunct/>
        <w:topLinePunct w:val="0"/>
        <w:autoSpaceDE/>
        <w:autoSpaceDN/>
        <w:bidi w:val="0"/>
        <w:adjustRightInd w:val="0"/>
        <w:snapToGrid w:val="0"/>
        <w:spacing w:line="240" w:lineRule="auto"/>
        <w:textAlignment w:val="auto"/>
        <w:rPr>
          <w:rFonts w:ascii="方正黑体简体" w:eastAsia="方正黑体简体"/>
          <w:bCs/>
          <w:color w:val="auto"/>
          <w:spacing w:val="6"/>
          <w:sz w:val="21"/>
          <w:szCs w:val="21"/>
        </w:rPr>
      </w:pPr>
    </w:p>
    <w:p w14:paraId="669117BA">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0CD2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8DD144A">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0FB32FFE">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北京市怀柔区龙山街道办事处</w:t>
            </w:r>
          </w:p>
        </w:tc>
      </w:tr>
      <w:tr w14:paraId="585C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28ADBB05">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618A2BFF">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街道乡镇</w:t>
            </w:r>
          </w:p>
        </w:tc>
      </w:tr>
      <w:tr w14:paraId="5FBE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7C315FAF">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20F8C9B2">
            <w:pPr>
              <w:keepNext w:val="0"/>
              <w:keepLines w:val="0"/>
              <w:pageBreakBefore w:val="0"/>
              <w:widowControl w:val="0"/>
              <w:kinsoku/>
              <w:wordWrap w:val="0"/>
              <w:topLinePunct w:val="0"/>
              <w:autoSpaceDE/>
              <w:autoSpaceDN/>
              <w:bidi w:val="0"/>
              <w:adjustRightInd w:val="0"/>
              <w:jc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eastAsia="zh-CN"/>
              </w:rPr>
              <w:t>北京市怀柔区迎宾中路</w:t>
            </w:r>
            <w:r>
              <w:rPr>
                <w:rFonts w:hint="eastAsia" w:ascii="仿宋_GB2312" w:hAnsi="仿宋_GB2312" w:eastAsia="仿宋_GB2312" w:cs="仿宋_GB2312"/>
                <w:color w:val="auto"/>
                <w:lang w:val="en-US" w:eastAsia="zh-CN"/>
              </w:rPr>
              <w:t>17号</w:t>
            </w:r>
          </w:p>
        </w:tc>
      </w:tr>
      <w:tr w14:paraId="5212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12597DEB">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610EAD9C">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lang w:eastAsia="zh-CN"/>
              </w:rPr>
              <w:t>北京市怀柔区</w:t>
            </w:r>
            <w:r>
              <w:rPr>
                <w:rFonts w:hint="eastAsia" w:ascii="仿宋_GB2312" w:hAnsi="仿宋_GB2312" w:eastAsia="仿宋_GB2312" w:cs="仿宋_GB2312"/>
                <w:bCs/>
                <w:color w:val="auto"/>
                <w:spacing w:val="6"/>
                <w:szCs w:val="28"/>
              </w:rPr>
              <w:t>龙山街道地处怀柔</w:t>
            </w:r>
            <w:r>
              <w:rPr>
                <w:rFonts w:hint="eastAsia" w:ascii="仿宋_GB2312" w:hAnsi="仿宋_GB2312" w:eastAsia="仿宋_GB2312" w:cs="仿宋_GB2312"/>
                <w:bCs/>
                <w:color w:val="auto"/>
                <w:spacing w:val="6"/>
                <w:szCs w:val="28"/>
                <w:lang w:eastAsia="zh-CN"/>
              </w:rPr>
              <w:t>中心</w:t>
            </w:r>
            <w:r>
              <w:rPr>
                <w:rFonts w:hint="eastAsia" w:ascii="仿宋_GB2312" w:hAnsi="仿宋_GB2312" w:eastAsia="仿宋_GB2312" w:cs="仿宋_GB2312"/>
                <w:bCs/>
                <w:color w:val="auto"/>
                <w:spacing w:val="6"/>
                <w:szCs w:val="28"/>
              </w:rPr>
              <w:t>城区，</w:t>
            </w:r>
            <w:r>
              <w:rPr>
                <w:rFonts w:hint="eastAsia" w:ascii="仿宋_GB2312" w:hAnsi="仿宋_GB2312" w:eastAsia="仿宋_GB2312" w:cs="仿宋_GB2312"/>
                <w:bCs/>
                <w:color w:val="auto"/>
                <w:spacing w:val="6"/>
                <w:szCs w:val="28"/>
                <w:lang w:eastAsia="zh-CN"/>
              </w:rPr>
              <w:t>是怀柔区行政、商业、文化、交通、金融的中心地区。</w:t>
            </w:r>
            <w:r>
              <w:rPr>
                <w:rFonts w:hint="eastAsia" w:ascii="仿宋_GB2312" w:hAnsi="仿宋_GB2312" w:eastAsia="仿宋_GB2312" w:cs="仿宋_GB2312"/>
                <w:bCs/>
                <w:color w:val="auto"/>
                <w:spacing w:val="6"/>
                <w:szCs w:val="28"/>
              </w:rPr>
              <w:t>辖区面积7.5平方公里</w:t>
            </w:r>
            <w:r>
              <w:rPr>
                <w:rFonts w:hint="eastAsia" w:ascii="仿宋_GB2312" w:hAnsi="仿宋_GB2312" w:eastAsia="仿宋_GB2312" w:cs="仿宋_GB2312"/>
                <w:bCs/>
                <w:color w:val="auto"/>
                <w:spacing w:val="6"/>
                <w:szCs w:val="28"/>
                <w:lang w:eastAsia="zh-CN"/>
              </w:rPr>
              <w:t>，</w:t>
            </w:r>
            <w:r>
              <w:rPr>
                <w:rFonts w:hint="eastAsia" w:ascii="仿宋_GB2312" w:hAnsi="仿宋_GB2312" w:eastAsia="仿宋_GB2312" w:cs="仿宋_GB2312"/>
                <w:bCs/>
                <w:color w:val="auto"/>
                <w:spacing w:val="6"/>
                <w:szCs w:val="28"/>
              </w:rPr>
              <w:t>辖12个社区和4个行政村，共120个小区，常住人口7.5万人。</w:t>
            </w:r>
            <w:r>
              <w:rPr>
                <w:rFonts w:hint="eastAsia" w:ascii="仿宋_GB2312" w:hAnsi="仿宋_GB2312" w:eastAsia="仿宋_GB2312" w:cs="仿宋_GB2312"/>
                <w:bCs/>
                <w:color w:val="auto"/>
                <w:spacing w:val="6"/>
                <w:szCs w:val="28"/>
                <w:lang w:eastAsia="zh-CN"/>
              </w:rPr>
              <w:t>这里聚集众多</w:t>
            </w:r>
            <w:r>
              <w:rPr>
                <w:rFonts w:hint="eastAsia" w:ascii="仿宋_GB2312" w:hAnsi="仿宋_GB2312" w:eastAsia="仿宋_GB2312" w:cs="仿宋_GB2312"/>
                <w:bCs/>
                <w:color w:val="auto"/>
                <w:spacing w:val="6"/>
                <w:szCs w:val="28"/>
              </w:rPr>
              <w:t>怀柔区机关企事业单位，有京北大世界、万达广场、万星市场等大型商市场9家，是怀柔区最大的商圈所在地。</w:t>
            </w:r>
          </w:p>
        </w:tc>
      </w:tr>
      <w:tr w14:paraId="2461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5FF2D3AE">
            <w:pPr>
              <w:keepNext w:val="0"/>
              <w:keepLines w:val="0"/>
              <w:pageBreakBefore w:val="0"/>
              <w:widowControl w:val="0"/>
              <w:kinsoku/>
              <w:wordWrap w:val="0"/>
              <w:topLinePunct w:val="0"/>
              <w:autoSpaceDE/>
              <w:autoSpaceDN/>
              <w:bidi w:val="0"/>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3DECB416">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赵颖颖</w:t>
            </w:r>
          </w:p>
        </w:tc>
        <w:tc>
          <w:tcPr>
            <w:tcW w:w="1073" w:type="dxa"/>
            <w:vAlign w:val="center"/>
          </w:tcPr>
          <w:p w14:paraId="22D1FEF5">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64A5BE1E">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lang w:eastAsia="zh-CN"/>
              </w:rPr>
            </w:pPr>
            <w:r>
              <w:rPr>
                <w:rFonts w:hint="eastAsia" w:eastAsia="方正仿宋简体" w:cs="Times New Roman"/>
                <w:color w:val="auto"/>
                <w:lang w:eastAsia="zh-CN"/>
              </w:rPr>
              <w:t>龙山街道团工委负责人</w:t>
            </w:r>
          </w:p>
        </w:tc>
      </w:tr>
      <w:tr w14:paraId="71EA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1C0FC3A8">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37A2F0E2">
            <w:pPr>
              <w:keepNext w:val="0"/>
              <w:keepLines w:val="0"/>
              <w:pageBreakBefore w:val="0"/>
              <w:widowControl w:val="0"/>
              <w:kinsoku/>
              <w:wordWrap w:val="0"/>
              <w:topLinePunct w:val="0"/>
              <w:autoSpaceDE/>
              <w:autoSpaceDN/>
              <w:bidi w:val="0"/>
              <w:adjustRightInd w:val="0"/>
              <w:snapToGrid w:val="0"/>
              <w:jc w:val="center"/>
              <w:rPr>
                <w:rFonts w:hint="default" w:ascii="仿宋_GB2312" w:hAnsi="仿宋_GB2312" w:eastAsia="仿宋_GB2312" w:cs="仿宋_GB2312"/>
                <w:bCs/>
                <w:color w:val="auto"/>
                <w:spacing w:val="6"/>
                <w:szCs w:val="28"/>
                <w:lang w:val="en-US" w:eastAsia="zh-CN"/>
              </w:rPr>
            </w:pPr>
            <w:r>
              <w:rPr>
                <w:rFonts w:hint="default" w:ascii="Times New Roman" w:hAnsi="Times New Roman" w:eastAsia="仿宋_GB2312" w:cs="Times New Roman"/>
                <w:bCs/>
                <w:color w:val="auto"/>
                <w:spacing w:val="6"/>
                <w:szCs w:val="28"/>
                <w:lang w:val="en-US" w:eastAsia="zh-CN"/>
              </w:rPr>
              <w:t>13269728753</w:t>
            </w:r>
          </w:p>
        </w:tc>
        <w:tc>
          <w:tcPr>
            <w:tcW w:w="1073" w:type="dxa"/>
            <w:vAlign w:val="center"/>
          </w:tcPr>
          <w:p w14:paraId="18606DEC">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38A5EB42">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rPr>
            </w:pPr>
            <w:r>
              <w:rPr>
                <w:rFonts w:hint="default" w:ascii="Times New Roman" w:hAnsi="Times New Roman" w:eastAsia="仿宋_GB2312" w:cs="Times New Roman"/>
                <w:bCs/>
                <w:color w:val="auto"/>
                <w:spacing w:val="6"/>
                <w:szCs w:val="28"/>
                <w:lang w:val="en-US" w:eastAsia="zh-CN"/>
              </w:rPr>
              <w:t>1</w:t>
            </w:r>
            <w:r>
              <w:rPr>
                <w:rFonts w:hint="eastAsia" w:ascii="Times New Roman" w:hAnsi="Times New Roman" w:eastAsia="仿宋_GB2312" w:cs="Times New Roman"/>
                <w:bCs/>
                <w:color w:val="auto"/>
                <w:spacing w:val="6"/>
                <w:szCs w:val="28"/>
                <w:lang w:val="en-US" w:eastAsia="zh-CN"/>
              </w:rPr>
              <w:t>3269728753</w:t>
            </w:r>
          </w:p>
        </w:tc>
      </w:tr>
    </w:tbl>
    <w:p w14:paraId="02CE9BFC">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73C1D4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A788D79">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82B31AC">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链接怀柔科学城、国际会都和中国影都的怀柔老城更新与青年融入</w:t>
            </w:r>
          </w:p>
        </w:tc>
      </w:tr>
      <w:tr w14:paraId="5A86F3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2071163">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8D78D15">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lang w:eastAsia="zh-CN"/>
              </w:rPr>
              <w:t>城市更新、青年发展型城市建设、</w:t>
            </w:r>
            <w:r>
              <w:rPr>
                <w:rFonts w:hint="eastAsia" w:ascii="仿宋_GB2312" w:hAnsi="仿宋_GB2312" w:eastAsia="仿宋_GB2312" w:cs="仿宋_GB2312"/>
                <w:b w:val="0"/>
                <w:color w:val="000000"/>
              </w:rPr>
              <w:t>超大城市治理</w:t>
            </w:r>
          </w:p>
        </w:tc>
      </w:tr>
      <w:tr w14:paraId="74FCF0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B5C7E06">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03FA14C">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国标楷体" w:hAnsi="国标楷体" w:eastAsia="国标楷体" w:cs="国标楷体"/>
                <w:b w:val="0"/>
                <w:bCs/>
                <w:color w:val="000000"/>
                <w:spacing w:val="6"/>
                <w:szCs w:val="28"/>
                <w:lang w:val="en-US" w:eastAsia="zh-CN"/>
              </w:rPr>
            </w:pPr>
            <w:r>
              <w:rPr>
                <w:rFonts w:hint="eastAsia" w:ascii="国标楷体" w:hAnsi="国标楷体" w:eastAsia="国标楷体" w:cs="国标楷体"/>
                <w:b w:val="0"/>
                <w:bCs/>
                <w:color w:val="000000"/>
                <w:spacing w:val="6"/>
                <w:szCs w:val="28"/>
                <w:lang w:val="en-US" w:eastAsia="zh-CN"/>
              </w:rPr>
              <w:t>选题背景：</w:t>
            </w:r>
          </w:p>
          <w:p w14:paraId="4AF743B1">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在怀柔区委、区政府高度重视下，2026年怀柔区龙山街道以城市更新为核心任务，全面推进商业街升级改造（怀柔中心的老街区），旨在打造区域级特色消费地标与活力中心，构建与怀柔科学城、国际会都、中国影都定位相匹配的多元化、体验式商业新体系。</w:t>
            </w:r>
          </w:p>
          <w:p w14:paraId="29D0A80A">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本次城市更新面临一个核心挑战与机遇：作为怀柔老城中心，龙山街道辖区青年以机关、企业、新就业群体为主，直接聚集的科研人才有限；但毗邻的怀柔科学城、国际会都、中国影都是高端人才与国际资源的密集区。如何通过街区更新，巧妙构建链接桥梁，使老城商业街成为服务三大战略功能的“活力纽带”与“形象窗口”，并在此过程中重塑本地青年认同，探索一条“老城服务新城”的可复制更新范式，是本次“揭榜挂帅”需要解决的核心命题。</w:t>
            </w:r>
          </w:p>
          <w:p w14:paraId="621E3441">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国标楷体" w:hAnsi="国标楷体" w:eastAsia="国标楷体" w:cs="国标楷体"/>
                <w:b w:val="0"/>
                <w:bCs/>
                <w:color w:val="000000"/>
                <w:spacing w:val="6"/>
                <w:szCs w:val="28"/>
                <w:lang w:val="en-US" w:eastAsia="zh-CN"/>
              </w:rPr>
              <w:t>选题方向：</w:t>
            </w:r>
            <w:r>
              <w:rPr>
                <w:rFonts w:hint="eastAsia" w:ascii="仿宋_GB2312" w:hAnsi="仿宋_GB2312" w:eastAsia="仿宋_GB2312" w:cs="仿宋_GB2312"/>
                <w:b w:val="0"/>
                <w:bCs/>
                <w:color w:val="000000"/>
                <w:spacing w:val="6"/>
                <w:szCs w:val="28"/>
                <w:lang w:val="en-US" w:eastAsia="zh-CN"/>
              </w:rPr>
              <w:t>选题方向可参考以下3个示例，不限于此。</w:t>
            </w:r>
          </w:p>
          <w:p w14:paraId="318F71B9">
            <w:pPr>
              <w:keepNext w:val="0"/>
              <w:keepLines w:val="0"/>
              <w:pageBreakBefore w:val="0"/>
              <w:widowControl w:val="0"/>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bCs w:val="0"/>
                <w:color w:val="000000"/>
                <w:spacing w:val="6"/>
                <w:szCs w:val="28"/>
                <w:lang w:val="en-US" w:eastAsia="zh-CN"/>
              </w:rPr>
              <w:t>方向一：文化IP塑造与街区叙事——融合“科学城”“国际会都”“中国影都”气质的青春表达：</w:t>
            </w:r>
            <w:r>
              <w:rPr>
                <w:rFonts w:hint="eastAsia" w:ascii="仿宋_GB2312" w:hAnsi="仿宋_GB2312" w:eastAsia="仿宋_GB2312" w:cs="仿宋_GB2312"/>
                <w:b w:val="0"/>
                <w:bCs/>
                <w:color w:val="000000"/>
                <w:spacing w:val="6"/>
                <w:szCs w:val="28"/>
                <w:lang w:val="en-US" w:eastAsia="zh-CN"/>
              </w:rPr>
              <w:t>设计街区专属IP、公共艺术装置或沉浸式文化动线。</w:t>
            </w:r>
          </w:p>
          <w:p w14:paraId="3377C749">
            <w:pPr>
              <w:keepNext w:val="0"/>
              <w:keepLines w:val="0"/>
              <w:pageBreakBefore w:val="0"/>
              <w:widowControl w:val="0"/>
              <w:kinsoku/>
              <w:wordWrap w:val="0"/>
              <w:topLinePunct w:val="0"/>
              <w:autoSpaceDE/>
              <w:autoSpaceDN/>
              <w:bidi w:val="0"/>
              <w:adjustRightInd w:val="0"/>
              <w:snapToGrid w:val="0"/>
              <w:ind w:firstLine="504" w:firstLineChars="200"/>
              <w:jc w:val="both"/>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1.深度挖掘龙山街道作为怀柔老城中心的历史记忆、科学城的创新精神、国际会都的开放氛围，将其与“科学家的休闲时光”“国际访客的在地体验”进行连接，设计“故事性街区IP系统”等。</w:t>
            </w:r>
          </w:p>
          <w:p w14:paraId="6F4C6E7A">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2.策划“街区可阅读计划”，通过AR扫码叙事墙、声音地图、光影艺术装置等，让国际访客、科研青年、本地居民都能感知街区独特脉络。</w:t>
            </w:r>
          </w:p>
          <w:p w14:paraId="714A1BD5">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3.公共艺术装置：设置“未来信箱”“世界问候墙”等。</w:t>
            </w:r>
          </w:p>
          <w:p w14:paraId="23D11C80">
            <w:pPr>
              <w:keepNext w:val="0"/>
              <w:keepLines w:val="0"/>
              <w:pageBreakBefore w:val="0"/>
              <w:widowControl w:val="0"/>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bCs w:val="0"/>
                <w:color w:val="000000"/>
                <w:spacing w:val="6"/>
                <w:szCs w:val="28"/>
                <w:lang w:val="en-US" w:eastAsia="zh-CN"/>
              </w:rPr>
              <w:t>方向二：智慧治理与活力提升——打造“技术赋能、青年参与治理”的智慧街区样板：</w:t>
            </w:r>
            <w:r>
              <w:rPr>
                <w:rFonts w:hint="eastAsia" w:ascii="仿宋_GB2312" w:hAnsi="仿宋_GB2312" w:eastAsia="仿宋_GB2312" w:cs="仿宋_GB2312"/>
                <w:b w:val="0"/>
                <w:bCs/>
                <w:color w:val="000000"/>
                <w:spacing w:val="6"/>
                <w:szCs w:val="28"/>
                <w:lang w:val="en-US" w:eastAsia="zh-CN"/>
              </w:rPr>
              <w:t>开发基于小程序或APP的“街区共创工具”，实现青年提案收集、活动组织、商户联动、志愿服务积分等功能，数字化赋能基层治理。</w:t>
            </w:r>
          </w:p>
          <w:p w14:paraId="30B585F0">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1.开发“商业街区共创云平台”，整合“提案征集—项目认领—积分激励”等流程，尤其鼓励青年针对交通优化、景观提升、设施维护等更新工程提出微方案和意见建议。待更新完成后，通过定期反馈，持续优化街区服务设施的便利性与舒适度。</w:t>
            </w:r>
          </w:p>
          <w:p w14:paraId="3198971C">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2.开发轻量级“新城服务码”系统，整合双语导览、商户信息、活动发布、意见反馈功能，重点优化对科学城访客及国际友人的使用体验。</w:t>
            </w:r>
          </w:p>
          <w:p w14:paraId="52C91E48">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3.引入低碳节能、环境感知、智能导览等适宜技术，设计“智慧绿廊”“共享充电花园”“可变式街具” 等微更新节点，提升街区科技感与包容性。</w:t>
            </w:r>
          </w:p>
          <w:p w14:paraId="59791682">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4.微更新设计聚焦“营造放松感与交流感”：如将街区角落改造为“户外读书角”“棋盘花园”“多语言信息亭”，提升街区对高知、国际人群的休闲吸引力。</w:t>
            </w:r>
          </w:p>
          <w:p w14:paraId="5B565507">
            <w:pPr>
              <w:keepNext w:val="0"/>
              <w:keepLines w:val="0"/>
              <w:pageBreakBefore w:val="0"/>
              <w:widowControl w:val="0"/>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bCs w:val="0"/>
                <w:color w:val="000000"/>
                <w:spacing w:val="6"/>
                <w:szCs w:val="28"/>
                <w:lang w:val="en-US" w:eastAsia="zh-CN"/>
              </w:rPr>
              <w:t>方向三：事件营造与社区黏性增强——塑造“全龄友好、全时活力”的街区品牌活动：</w:t>
            </w:r>
            <w:r>
              <w:rPr>
                <w:rFonts w:hint="eastAsia" w:ascii="仿宋_GB2312" w:hAnsi="仿宋_GB2312" w:eastAsia="仿宋_GB2312" w:cs="仿宋_GB2312"/>
                <w:b w:val="0"/>
                <w:bCs/>
                <w:color w:val="000000"/>
                <w:spacing w:val="6"/>
                <w:szCs w:val="28"/>
                <w:lang w:val="en-US" w:eastAsia="zh-CN"/>
              </w:rPr>
              <w:t>打破青年群体壁垒，构建兴趣共同体。</w:t>
            </w:r>
          </w:p>
          <w:p w14:paraId="0520D85D">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1.如策划贯穿全年的“新城事”系列：“国际青年文化交流周”（联动国际会都，举办小型论坛、美食节、音乐角）、“科学城开放日·街区实验室”（将高端科研资源以科普形式带入街区）、“老街新青年创想节”（汇集创意市集、社区剧场、星空放映等）。</w:t>
            </w:r>
          </w:p>
          <w:p w14:paraId="493E8BF0">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2.设计“街区记忆存档计划”，鼓励青年以摄影、短视频、纪录片等形式记录更新过程，形成动态社区档案，构建情感纽带与文化传承。</w:t>
            </w:r>
          </w:p>
        </w:tc>
      </w:tr>
      <w:tr w14:paraId="72B1BB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3454643">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4ADE8D6">
            <w:pPr>
              <w:keepNext w:val="0"/>
              <w:keepLines w:val="0"/>
              <w:pageBreakBefore w:val="0"/>
              <w:widowControl w:val="0"/>
              <w:kinsoku/>
              <w:wordWrap w:val="0"/>
              <w:topLinePunct w:val="0"/>
              <w:autoSpaceDE/>
              <w:autoSpaceDN/>
              <w:bidi w:val="0"/>
              <w:adjustRightInd w:val="0"/>
              <w:snapToGrid w:val="0"/>
              <w:ind w:firstLine="504"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rPr>
              <w:t>学生团队准备项目方案时要仔细了解出题方提供的资料，全面了解</w:t>
            </w:r>
            <w:r>
              <w:rPr>
                <w:rFonts w:hint="eastAsia" w:ascii="仿宋_GB2312" w:hAnsi="仿宋_GB2312" w:eastAsia="仿宋_GB2312" w:cs="仿宋_GB2312"/>
                <w:b w:val="0"/>
                <w:bCs/>
                <w:color w:val="000000"/>
                <w:spacing w:val="6"/>
                <w:szCs w:val="28"/>
                <w:lang w:eastAsia="zh-CN"/>
              </w:rPr>
              <w:t>怀柔区基础，</w:t>
            </w:r>
            <w:r>
              <w:rPr>
                <w:rFonts w:hint="eastAsia" w:ascii="仿宋_GB2312" w:hAnsi="仿宋_GB2312" w:eastAsia="仿宋_GB2312" w:cs="仿宋_GB2312"/>
                <w:b w:val="0"/>
                <w:bCs/>
                <w:color w:val="000000"/>
                <w:spacing w:val="6"/>
                <w:szCs w:val="28"/>
              </w:rPr>
              <w:t>同</w:t>
            </w:r>
            <w:r>
              <w:rPr>
                <w:rFonts w:hint="eastAsia" w:ascii="仿宋_GB2312" w:hAnsi="仿宋_GB2312" w:eastAsia="仿宋_GB2312" w:cs="仿宋_GB2312"/>
                <w:b w:val="0"/>
                <w:bCs/>
                <w:color w:val="000000"/>
                <w:spacing w:val="6"/>
                <w:szCs w:val="28"/>
                <w:lang w:eastAsia="zh-CN"/>
              </w:rPr>
              <w:t>龙山街道团工委</w:t>
            </w:r>
            <w:r>
              <w:rPr>
                <w:rFonts w:hint="eastAsia" w:ascii="仿宋_GB2312" w:hAnsi="仿宋_GB2312" w:eastAsia="仿宋_GB2312" w:cs="仿宋_GB2312"/>
                <w:b w:val="0"/>
                <w:bCs/>
                <w:color w:val="000000"/>
                <w:spacing w:val="6"/>
                <w:szCs w:val="28"/>
              </w:rPr>
              <w:t>等相关人员保持密切沟通交流，脚踏实地做实践。</w:t>
            </w:r>
          </w:p>
        </w:tc>
      </w:tr>
      <w:tr w14:paraId="07C804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22ECA">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119AC762">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19A8CA">
            <w:pPr>
              <w:keepNext w:val="0"/>
              <w:keepLines w:val="0"/>
              <w:pageBreakBefore w:val="0"/>
              <w:widowControl w:val="0"/>
              <w:kinsoku/>
              <w:wordWrap w:val="0"/>
              <w:overflowPunct w:val="0"/>
              <w:topLinePunct w:val="0"/>
              <w:autoSpaceDE/>
              <w:autoSpaceDN/>
              <w:bidi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需注重实用性、可持续性，兼顾政府、商户、居民、青年等多方诉求</w:t>
            </w:r>
            <w:r>
              <w:rPr>
                <w:rFonts w:hint="eastAsia" w:ascii="仿宋_GB2312" w:hAnsi="仿宋_GB2312" w:eastAsia="仿宋_GB2312" w:cs="仿宋_GB2312"/>
                <w:b w:val="0"/>
                <w:bCs/>
                <w:color w:val="000000"/>
                <w:spacing w:val="6"/>
                <w:szCs w:val="28"/>
                <w:u w:val="none"/>
                <w:lang w:eastAsia="zh-CN"/>
              </w:rPr>
              <w:t>。</w:t>
            </w:r>
            <w:r>
              <w:rPr>
                <w:rFonts w:hint="eastAsia" w:ascii="仿宋_GB2312" w:hAnsi="仿宋_GB2312" w:eastAsia="仿宋_GB2312" w:cs="仿宋_GB2312"/>
                <w:b w:val="0"/>
                <w:bCs/>
                <w:color w:val="000000"/>
                <w:spacing w:val="6"/>
                <w:szCs w:val="28"/>
                <w:u w:val="none"/>
              </w:rPr>
              <w:t>需紧扣怀柔</w:t>
            </w:r>
            <w:r>
              <w:rPr>
                <w:rFonts w:hint="eastAsia" w:ascii="仿宋_GB2312" w:hAnsi="仿宋_GB2312" w:eastAsia="仿宋_GB2312" w:cs="仿宋_GB2312"/>
                <w:b w:val="0"/>
                <w:bCs/>
                <w:color w:val="000000"/>
                <w:spacing w:val="6"/>
                <w:szCs w:val="28"/>
                <w:u w:val="none"/>
                <w:lang w:eastAsia="zh-CN"/>
              </w:rPr>
              <w:t>城市</w:t>
            </w:r>
            <w:r>
              <w:rPr>
                <w:rFonts w:hint="eastAsia" w:ascii="仿宋_GB2312" w:hAnsi="仿宋_GB2312" w:eastAsia="仿宋_GB2312" w:cs="仿宋_GB2312"/>
                <w:b w:val="0"/>
                <w:bCs/>
                <w:color w:val="000000"/>
                <w:spacing w:val="6"/>
                <w:szCs w:val="28"/>
                <w:u w:val="none"/>
              </w:rPr>
              <w:t>定位。</w:t>
            </w:r>
          </w:p>
        </w:tc>
      </w:tr>
      <w:tr w14:paraId="0B28D9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DB7DA98">
            <w:pPr>
              <w:keepNext w:val="0"/>
              <w:keepLines w:val="0"/>
              <w:pageBreakBefore w:val="0"/>
              <w:widowControl w:val="0"/>
              <w:kinsoku/>
              <w:wordWrap w:val="0"/>
              <w:overflowPunct w:val="0"/>
              <w:topLinePunct w:val="0"/>
              <w:autoSpaceDE/>
              <w:autoSpaceDN/>
              <w:bidi w:val="0"/>
              <w:adjustRightInd w:val="0"/>
              <w:snapToGrid w:val="0"/>
              <w:spacing w:line="240" w:lineRule="auto"/>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0673E27">
            <w:pPr>
              <w:keepNext w:val="0"/>
              <w:keepLines w:val="0"/>
              <w:pageBreakBefore w:val="0"/>
              <w:widowControl w:val="0"/>
              <w:kinsoku/>
              <w:wordWrap w:val="0"/>
              <w:overflowPunct w:val="0"/>
              <w:topLinePunct w:val="0"/>
              <w:autoSpaceDE/>
              <w:autoSpaceDN/>
              <w:bidi w:val="0"/>
              <w:adjustRightInd w:val="0"/>
              <w:snapToGrid w:val="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核心目标：1.构建链接桥梁：将商业街打造为高效链接、服务科学城与国际会都人群的活力纽带，助力商业街成为展示怀柔“国际会都”开放形象与“科学城”创新气质的重要窗口。2.增强青年认同：使本地青年在“服务国家战略前沿、提升城市功能”的实践中，获得不可替代的参与感、成就感与归属感，并构建跨群体、跨领域的青年发展型社区。3.探索更新范式：形成老城服务新城下的“青年创意—街区更新—治理提升”的可复制、可推广的良性循环机制。</w:t>
            </w:r>
          </w:p>
        </w:tc>
      </w:tr>
    </w:tbl>
    <w:p w14:paraId="490BF475">
      <w:pPr>
        <w:keepNext w:val="0"/>
        <w:keepLines w:val="0"/>
        <w:pageBreakBefore w:val="0"/>
        <w:widowControl w:val="0"/>
        <w:kinsoku/>
        <w:wordWrap w:val="0"/>
        <w:overflowPunct/>
        <w:topLinePunct w:val="0"/>
        <w:autoSpaceDE/>
        <w:autoSpaceDN/>
        <w:bidi w:val="0"/>
        <w:textAlignment w:val="auto"/>
        <w:rPr>
          <w:rFonts w:hint="eastAsia" w:ascii="方正黑体简体" w:hAnsi="Times New Roman" w:eastAsia="方正黑体简体" w:cs="Times New Roman"/>
          <w:bCs/>
          <w:color w:val="auto"/>
          <w:spacing w:val="6"/>
          <w:sz w:val="32"/>
          <w:szCs w:val="32"/>
        </w:rPr>
      </w:pPr>
      <w:r>
        <w:rPr>
          <w:rFonts w:hint="eastAsia" w:ascii="方正黑体简体" w:eastAsia="方正黑体简体"/>
          <w:bCs/>
          <w:color w:val="auto"/>
          <w:spacing w:val="6"/>
          <w:sz w:val="32"/>
          <w:szCs w:val="32"/>
          <w:lang w:val="en-US" w:eastAsia="zh-CN"/>
        </w:rPr>
        <w:t>三</w:t>
      </w:r>
      <w:r>
        <w:rPr>
          <w:rFonts w:hint="eastAsia" w:ascii="方正黑体简体" w:hAnsi="Times New Roman" w:eastAsia="方正黑体简体" w:cs="Times New Roman"/>
          <w:bCs/>
          <w:color w:val="auto"/>
          <w:spacing w:val="6"/>
          <w:sz w:val="32"/>
          <w:szCs w:val="32"/>
        </w:rPr>
        <w:t>、激励保障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2EE649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93228D0">
            <w:pPr>
              <w:keepNext w:val="0"/>
              <w:keepLines w:val="0"/>
              <w:pageBreakBefore w:val="0"/>
              <w:widowControl w:val="0"/>
              <w:kinsoku/>
              <w:wordWrap w:val="0"/>
              <w:overflowPunct/>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B46E418">
            <w:pPr>
              <w:keepNext w:val="0"/>
              <w:keepLines w:val="0"/>
              <w:pageBreakBefore w:val="0"/>
              <w:widowControl w:val="0"/>
              <w:kinsoku/>
              <w:wordWrap w:val="0"/>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rPr>
              <w:t>为参赛团队提供</w:t>
            </w:r>
            <w:r>
              <w:rPr>
                <w:rFonts w:hint="eastAsia" w:ascii="仿宋_GB2312" w:hAnsi="仿宋_GB2312" w:eastAsia="仿宋_GB2312" w:cs="仿宋_GB2312"/>
                <w:b w:val="0"/>
                <w:bCs/>
                <w:color w:val="000000"/>
                <w:spacing w:val="6"/>
                <w:szCs w:val="28"/>
                <w:lang w:val="en-US" w:eastAsia="zh-CN"/>
              </w:rPr>
              <w:t>龙山街道城市更新</w:t>
            </w:r>
            <w:r>
              <w:rPr>
                <w:rFonts w:hint="eastAsia" w:ascii="仿宋_GB2312" w:hAnsi="仿宋_GB2312" w:eastAsia="仿宋_GB2312" w:cs="仿宋_GB2312"/>
                <w:b w:val="0"/>
                <w:bCs/>
                <w:color w:val="000000"/>
                <w:spacing w:val="6"/>
                <w:szCs w:val="28"/>
                <w:lang w:val="en-US"/>
              </w:rPr>
              <w:t>基本情况、现场实践调研等，由</w:t>
            </w:r>
            <w:r>
              <w:rPr>
                <w:rFonts w:hint="eastAsia" w:ascii="仿宋_GB2312" w:hAnsi="仿宋_GB2312" w:eastAsia="仿宋_GB2312" w:cs="仿宋_GB2312"/>
                <w:b w:val="0"/>
                <w:bCs/>
                <w:color w:val="000000"/>
                <w:spacing w:val="6"/>
                <w:szCs w:val="28"/>
                <w:lang w:val="en-US" w:eastAsia="zh-CN"/>
              </w:rPr>
              <w:t>龙山街道团工委</w:t>
            </w:r>
            <w:r>
              <w:rPr>
                <w:rFonts w:hint="eastAsia" w:ascii="仿宋_GB2312" w:hAnsi="仿宋_GB2312" w:eastAsia="仿宋_GB2312" w:cs="仿宋_GB2312"/>
                <w:b w:val="0"/>
                <w:bCs/>
                <w:color w:val="000000"/>
                <w:spacing w:val="6"/>
                <w:szCs w:val="28"/>
                <w:lang w:val="en-US"/>
              </w:rPr>
              <w:t>对项目方案全程指导。</w:t>
            </w:r>
          </w:p>
        </w:tc>
      </w:tr>
      <w:tr w14:paraId="1B2225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51131EE">
            <w:pPr>
              <w:keepNext w:val="0"/>
              <w:keepLines w:val="0"/>
              <w:pageBreakBefore w:val="0"/>
              <w:widowControl w:val="0"/>
              <w:kinsoku/>
              <w:wordWrap w:val="0"/>
              <w:overflowPunct/>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B418A62">
            <w:pPr>
              <w:keepNext w:val="0"/>
              <w:keepLines w:val="0"/>
              <w:pageBreakBefore w:val="0"/>
              <w:widowControl w:val="0"/>
              <w:kinsoku/>
              <w:wordWrap w:val="0"/>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一、奖项设置</w:t>
            </w:r>
          </w:p>
          <w:p w14:paraId="23A101C8">
            <w:pPr>
              <w:keepNext w:val="0"/>
              <w:keepLines w:val="0"/>
              <w:pageBreakBefore w:val="0"/>
              <w:widowControl w:val="0"/>
              <w:kinsoku/>
              <w:wordWrap w:val="0"/>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原则上设“擂主”团队1个，根据实际情况评出相应的特等奖、一等奖、二等奖、三等奖项目若干。</w:t>
            </w:r>
          </w:p>
          <w:p w14:paraId="0673C78F">
            <w:pPr>
              <w:keepNext w:val="0"/>
              <w:keepLines w:val="0"/>
              <w:pageBreakBefore w:val="0"/>
              <w:widowControl w:val="0"/>
              <w:kinsoku/>
              <w:wordWrap w:val="0"/>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二、激励措施</w:t>
            </w:r>
          </w:p>
          <w:p w14:paraId="5786DCC6">
            <w:pPr>
              <w:keepNext w:val="0"/>
              <w:keepLines w:val="0"/>
              <w:pageBreakBefore w:val="0"/>
              <w:widowControl w:val="0"/>
              <w:kinsoku/>
              <w:wordWrap w:val="0"/>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将会把有创意、有创新、可落地的方案落地实施。待比赛结束后，可长期助力龙山街道基层治理等各项工作。</w:t>
            </w:r>
          </w:p>
          <w:p w14:paraId="7EE25450">
            <w:pPr>
              <w:keepNext w:val="0"/>
              <w:keepLines w:val="0"/>
              <w:pageBreakBefore w:val="0"/>
              <w:widowControl w:val="0"/>
              <w:kinsoku/>
              <w:wordWrap w:val="0"/>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特等奖：奖品奖励，常态化对接街道开展各类共建活动、怀柔科学城参观、国际会都参观、走进龙山街道和社区进行调研；</w:t>
            </w:r>
          </w:p>
          <w:p w14:paraId="41B98396">
            <w:pPr>
              <w:keepNext w:val="0"/>
              <w:keepLines w:val="0"/>
              <w:pageBreakBefore w:val="0"/>
              <w:widowControl w:val="0"/>
              <w:kinsoku/>
              <w:wordWrap w:val="0"/>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一等奖：奖品奖励，怀柔科学城参观、国际会都参观、走进龙山街道和社区进行调研、与社区开展共建活动；</w:t>
            </w:r>
          </w:p>
          <w:p w14:paraId="0C9BE569">
            <w:pPr>
              <w:keepNext w:val="0"/>
              <w:keepLines w:val="0"/>
              <w:pageBreakBefore w:val="0"/>
              <w:widowControl w:val="0"/>
              <w:kinsoku/>
              <w:wordWrap w:val="0"/>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rPr>
              <w:t>二等奖、三等奖：奖品奖励，走进龙山街道和社区进行调研、与社区开展共建活动。</w:t>
            </w:r>
          </w:p>
        </w:tc>
      </w:tr>
    </w:tbl>
    <w:p w14:paraId="16867AD9">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266F05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DBE1A55">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64655">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eastAsia="zh-CN"/>
              </w:rPr>
              <w:t>精准回应了城市更新中 “局部与整体”、“老城与新城” 协同发展的核心命题</w:t>
            </w:r>
            <w:r>
              <w:rPr>
                <w:rFonts w:hint="eastAsia" w:ascii="仿宋_GB2312" w:hAnsi="仿宋_GB2312" w:eastAsia="仿宋_GB2312" w:cs="仿宋_GB2312"/>
                <w:b w:val="0"/>
                <w:bCs/>
                <w:color w:val="000000"/>
                <w:spacing w:val="6"/>
                <w:szCs w:val="28"/>
                <w:u w:val="none"/>
              </w:rPr>
              <w:t>。</w:t>
            </w:r>
          </w:p>
        </w:tc>
      </w:tr>
      <w:tr w14:paraId="4E5646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62443">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C2616">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1.</w:t>
            </w:r>
            <w:r>
              <w:rPr>
                <w:rFonts w:hint="eastAsia" w:ascii="仿宋_GB2312" w:hAnsi="仿宋_GB2312" w:eastAsia="仿宋_GB2312" w:cs="仿宋_GB2312"/>
                <w:b w:val="0"/>
                <w:bCs/>
                <w:color w:val="000000"/>
                <w:spacing w:val="6"/>
                <w:szCs w:val="28"/>
                <w:u w:val="none"/>
              </w:rPr>
              <w:t>直接服务北京城市更新战略与青年发展型城市建设，体现“人民城市”重要理念。</w:t>
            </w:r>
          </w:p>
          <w:p w14:paraId="10633FCF">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2.</w:t>
            </w:r>
            <w:r>
              <w:rPr>
                <w:rFonts w:hint="eastAsia" w:ascii="仿宋_GB2312" w:hAnsi="仿宋_GB2312" w:eastAsia="仿宋_GB2312" w:cs="仿宋_GB2312"/>
                <w:b w:val="0"/>
                <w:bCs/>
                <w:color w:val="000000"/>
                <w:spacing w:val="6"/>
                <w:szCs w:val="28"/>
                <w:u w:val="none"/>
              </w:rPr>
              <w:t>探索高端功能区与老城街区协同发展、青年人才与本地社区融合共生的新路径。</w:t>
            </w:r>
          </w:p>
          <w:p w14:paraId="4B1A474F">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3.</w:t>
            </w:r>
            <w:r>
              <w:rPr>
                <w:rFonts w:hint="eastAsia" w:ascii="仿宋_GB2312" w:hAnsi="仿宋_GB2312" w:eastAsia="仿宋_GB2312" w:cs="仿宋_GB2312"/>
                <w:b w:val="0"/>
                <w:bCs/>
                <w:color w:val="000000"/>
                <w:spacing w:val="6"/>
                <w:szCs w:val="28"/>
                <w:u w:val="none"/>
              </w:rPr>
              <w:t>通过青年创意激活街区，为北京乃至全国类似区域的城市更新提供“</w:t>
            </w:r>
            <w:r>
              <w:rPr>
                <w:rFonts w:hint="eastAsia" w:ascii="仿宋_GB2312" w:hAnsi="仿宋_GB2312" w:eastAsia="仿宋_GB2312" w:cs="仿宋_GB2312"/>
                <w:b w:val="0"/>
                <w:bCs/>
                <w:color w:val="000000"/>
                <w:spacing w:val="6"/>
                <w:szCs w:val="28"/>
                <w:u w:val="none"/>
                <w:lang w:eastAsia="zh-CN"/>
              </w:rPr>
              <w:t>龙山</w:t>
            </w:r>
            <w:r>
              <w:rPr>
                <w:rFonts w:hint="eastAsia" w:ascii="仿宋_GB2312" w:hAnsi="仿宋_GB2312" w:eastAsia="仿宋_GB2312" w:cs="仿宋_GB2312"/>
                <w:b w:val="0"/>
                <w:bCs/>
                <w:color w:val="000000"/>
                <w:spacing w:val="6"/>
                <w:szCs w:val="28"/>
                <w:u w:val="none"/>
              </w:rPr>
              <w:t>样本”。</w:t>
            </w:r>
          </w:p>
        </w:tc>
      </w:tr>
    </w:tbl>
    <w:p w14:paraId="2D4337B4">
      <w:pPr>
        <w:keepNext w:val="0"/>
        <w:keepLines w:val="0"/>
        <w:pageBreakBefore w:val="0"/>
        <w:widowControl w:val="0"/>
        <w:kinsoku/>
        <w:wordWrap w:val="0"/>
        <w:overflowPunct/>
        <w:topLinePunct w:val="0"/>
        <w:autoSpaceDE/>
        <w:autoSpaceDN/>
        <w:bidi w:val="0"/>
        <w:textAlignment w:val="auto"/>
        <w:rPr>
          <w:rFonts w:hint="eastAsia" w:ascii="楷体_GB2312" w:hAnsi="楷体_GB2312" w:eastAsia="楷体_GB2312" w:cs="楷体_GB2312"/>
          <w:color w:val="auto"/>
        </w:rPr>
      </w:pPr>
      <w:r>
        <w:rPr>
          <w:rFonts w:hint="eastAsia" w:ascii="楷体_GB2312" w:hAnsi="楷体_GB2312" w:eastAsia="楷体_GB2312" w:cs="楷体_GB2312"/>
          <w:color w:val="auto"/>
        </w:rPr>
        <w:br w:type="page"/>
      </w:r>
    </w:p>
    <w:p w14:paraId="641194F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3F62F82D">
      <w:pPr>
        <w:widowControl w:val="0"/>
        <w:tabs>
          <w:tab w:val="left" w:pos="8640"/>
        </w:tabs>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—2</w:t>
      </w:r>
      <w:r>
        <w:rPr>
          <w:rFonts w:hint="eastAsia" w:eastAsia="方正小标宋简体" w:cs="方正小标宋简体"/>
          <w:b w:val="0"/>
          <w:bCs/>
          <w:kern w:val="2"/>
          <w:sz w:val="44"/>
          <w:szCs w:val="32"/>
          <w:highlight w:val="none"/>
          <w:lang w:val="en-US" w:eastAsia="zh-CN"/>
        </w:rPr>
        <w:t>1</w:t>
      </w:r>
    </w:p>
    <w:p w14:paraId="51D33E56">
      <w:pPr>
        <w:keepNext w:val="0"/>
        <w:keepLines w:val="0"/>
        <w:pageBreakBefore w:val="0"/>
        <w:widowControl w:val="0"/>
        <w:tabs>
          <w:tab w:val="left" w:pos="8640"/>
        </w:tabs>
        <w:kinsoku/>
        <w:wordWrap w:val="0"/>
        <w:overflowPunct/>
        <w:topLinePunct w:val="0"/>
        <w:autoSpaceDE/>
        <w:autoSpaceDN/>
        <w:bidi w:val="0"/>
        <w:adjustRightInd w:val="0"/>
        <w:snapToGrid w:val="0"/>
        <w:spacing w:line="240" w:lineRule="auto"/>
        <w:textAlignment w:val="auto"/>
        <w:rPr>
          <w:rFonts w:ascii="方正黑体简体" w:eastAsia="方正黑体简体"/>
          <w:bCs/>
          <w:color w:val="auto"/>
          <w:spacing w:val="6"/>
          <w:sz w:val="21"/>
          <w:szCs w:val="21"/>
        </w:rPr>
      </w:pPr>
    </w:p>
    <w:p w14:paraId="16EF553A">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24BA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4A66982B">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7EE3E7CA">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北京市延庆区精神病医院</w:t>
            </w:r>
          </w:p>
        </w:tc>
      </w:tr>
      <w:tr w14:paraId="3B19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0166BC6B">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24C2CDDD">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公立医疗机构</w:t>
            </w:r>
          </w:p>
        </w:tc>
      </w:tr>
      <w:tr w14:paraId="05D94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44B655A6">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30F49B6D">
            <w:pPr>
              <w:keepNext w:val="0"/>
              <w:keepLines w:val="0"/>
              <w:pageBreakBefore w:val="0"/>
              <w:widowControl w:val="0"/>
              <w:kinsoku/>
              <w:wordWrap w:val="0"/>
              <w:topLinePunct w:val="0"/>
              <w:autoSpaceDE/>
              <w:autoSpaceDN/>
              <w:bidi w:val="0"/>
              <w:adjustRightInd w:val="0"/>
              <w:jc w:val="center"/>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延庆区张山营镇张山营村</w:t>
            </w:r>
          </w:p>
        </w:tc>
      </w:tr>
      <w:tr w14:paraId="1928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4E661270">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5C62AA4E">
            <w:pPr>
              <w:keepNext w:val="0"/>
              <w:keepLines w:val="0"/>
              <w:pageBreakBefore w:val="0"/>
              <w:widowControl w:val="0"/>
              <w:kinsoku/>
              <w:wordWrap w:val="0"/>
              <w:topLinePunct w:val="0"/>
              <w:autoSpaceDE/>
              <w:autoSpaceDN/>
              <w:bidi w:val="0"/>
              <w:adjustRightInd w:val="0"/>
              <w:snapToGrid w:val="0"/>
              <w:jc w:val="both"/>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lang w:val="en-US" w:eastAsia="zh-CN"/>
              </w:rPr>
              <w:t>延庆区精神病医院</w:t>
            </w:r>
            <w:r>
              <w:rPr>
                <w:rFonts w:hint="eastAsia" w:ascii="仿宋_GB2312" w:hAnsi="仿宋_GB2312" w:eastAsia="仿宋_GB2312" w:cs="仿宋_GB2312"/>
                <w:bCs/>
                <w:color w:val="auto"/>
                <w:spacing w:val="6"/>
                <w:szCs w:val="28"/>
                <w:lang w:val="en-US"/>
              </w:rPr>
              <w:t>是区内唯一一所集医疗、预防、教学、康复、心理健康促进为一体的二级精神卫生专科医院；编制床位120张。我院是北京市回龙观医院协作医院、北京安定医院精神专科医联体成员单位、华北理工大学心理与精神卫生学院教学实践基地。</w:t>
            </w:r>
          </w:p>
        </w:tc>
      </w:tr>
      <w:tr w14:paraId="21FA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72316DCE">
            <w:pPr>
              <w:keepNext w:val="0"/>
              <w:keepLines w:val="0"/>
              <w:pageBreakBefore w:val="0"/>
              <w:widowControl w:val="0"/>
              <w:kinsoku/>
              <w:wordWrap w:val="0"/>
              <w:topLinePunct w:val="0"/>
              <w:autoSpaceDE/>
              <w:autoSpaceDN/>
              <w:bidi w:val="0"/>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363B9C6A">
            <w:pPr>
              <w:keepNext w:val="0"/>
              <w:keepLines w:val="0"/>
              <w:pageBreakBefore w:val="0"/>
              <w:widowControl w:val="0"/>
              <w:kinsoku/>
              <w:wordWrap w:val="0"/>
              <w:topLinePunct w:val="0"/>
              <w:autoSpaceDE/>
              <w:autoSpaceDN/>
              <w:bidi w:val="0"/>
              <w:adjustRightInd w:val="0"/>
              <w:snapToGrid w:val="0"/>
              <w:jc w:val="both"/>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王卓凡</w:t>
            </w:r>
          </w:p>
        </w:tc>
        <w:tc>
          <w:tcPr>
            <w:tcW w:w="1073" w:type="dxa"/>
            <w:vAlign w:val="center"/>
          </w:tcPr>
          <w:p w14:paraId="6C0FBC51">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69883A2A">
            <w:pPr>
              <w:keepNext w:val="0"/>
              <w:keepLines w:val="0"/>
              <w:pageBreakBefore w:val="0"/>
              <w:widowControl w:val="0"/>
              <w:kinsoku/>
              <w:wordWrap w:val="0"/>
              <w:topLinePunct w:val="0"/>
              <w:autoSpaceDE/>
              <w:autoSpaceDN/>
              <w:bidi w:val="0"/>
              <w:adjustRightInd w:val="0"/>
              <w:jc w:val="center"/>
              <w:rPr>
                <w:rFonts w:hint="eastAsia" w:ascii="Times New Roman" w:hAnsi="Times New Roman" w:eastAsia="方正仿宋简体" w:cs="Times New Roman"/>
                <w:color w:val="auto"/>
                <w:lang w:eastAsia="zh-CN"/>
              </w:rPr>
            </w:pPr>
            <w:r>
              <w:rPr>
                <w:rFonts w:hint="eastAsia" w:eastAsia="方正仿宋简体" w:cs="Times New Roman"/>
                <w:color w:val="auto"/>
                <w:lang w:eastAsia="zh-CN"/>
              </w:rPr>
              <w:t>团支部书记</w:t>
            </w:r>
          </w:p>
        </w:tc>
      </w:tr>
      <w:tr w14:paraId="1FF9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3510FCB2">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727C050C">
            <w:pPr>
              <w:keepNext w:val="0"/>
              <w:keepLines w:val="0"/>
              <w:pageBreakBefore w:val="0"/>
              <w:widowControl w:val="0"/>
              <w:kinsoku/>
              <w:wordWrap w:val="0"/>
              <w:topLinePunct w:val="0"/>
              <w:autoSpaceDE/>
              <w:autoSpaceDN/>
              <w:bidi w:val="0"/>
              <w:adjustRightInd w:val="0"/>
              <w:snapToGrid w:val="0"/>
              <w:jc w:val="both"/>
              <w:rPr>
                <w:rFonts w:hint="default" w:ascii="仿宋_GB2312" w:hAnsi="仿宋_GB2312" w:eastAsia="仿宋_GB2312" w:cs="仿宋_GB2312"/>
                <w:bCs/>
                <w:color w:val="auto"/>
                <w:spacing w:val="6"/>
                <w:szCs w:val="28"/>
                <w:lang w:val="en-US" w:eastAsia="zh-CN"/>
              </w:rPr>
            </w:pPr>
            <w:r>
              <w:rPr>
                <w:rFonts w:hint="eastAsia" w:eastAsia="方正仿宋简体" w:cs="Times New Roman"/>
                <w:color w:val="auto"/>
                <w:lang w:val="en-US" w:eastAsia="zh-CN"/>
              </w:rPr>
              <w:t>69111206</w:t>
            </w:r>
          </w:p>
        </w:tc>
        <w:tc>
          <w:tcPr>
            <w:tcW w:w="1073" w:type="dxa"/>
            <w:vAlign w:val="center"/>
          </w:tcPr>
          <w:p w14:paraId="78188615">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698EA261">
            <w:pPr>
              <w:keepNext w:val="0"/>
              <w:keepLines w:val="0"/>
              <w:pageBreakBefore w:val="0"/>
              <w:widowControl w:val="0"/>
              <w:kinsoku/>
              <w:wordWrap w:val="0"/>
              <w:topLinePunct w:val="0"/>
              <w:autoSpaceDE/>
              <w:autoSpaceDN/>
              <w:bidi w:val="0"/>
              <w:adjustRightInd w:val="0"/>
              <w:jc w:val="center"/>
              <w:rPr>
                <w:rFonts w:hint="default" w:ascii="Times New Roman" w:hAnsi="Times New Roman" w:eastAsia="方正仿宋简体" w:cs="Times New Roman"/>
                <w:color w:val="auto"/>
                <w:lang w:val="en-US" w:eastAsia="zh-CN"/>
              </w:rPr>
            </w:pPr>
            <w:r>
              <w:rPr>
                <w:rFonts w:hint="eastAsia" w:eastAsia="方正仿宋简体" w:cs="Times New Roman"/>
                <w:color w:val="auto"/>
                <w:lang w:val="en-US" w:eastAsia="zh-CN"/>
              </w:rPr>
              <w:t>zzsgmra</w:t>
            </w:r>
          </w:p>
        </w:tc>
      </w:tr>
    </w:tbl>
    <w:p w14:paraId="518E06CE">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4C32A8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7BAF392">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8CB9933">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精神心理健康精准服务体系构建</w:t>
            </w:r>
          </w:p>
        </w:tc>
      </w:tr>
      <w:tr w14:paraId="27BD1A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F341709">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A59797A">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医疗卫生</w:t>
            </w:r>
            <w:r>
              <w:rPr>
                <w:rFonts w:hint="eastAsia" w:ascii="仿宋_GB2312" w:hAnsi="仿宋_GB2312" w:eastAsia="仿宋_GB2312" w:cs="仿宋_GB2312"/>
                <w:b w:val="0"/>
                <w:bCs/>
                <w:color w:val="000000"/>
                <w:spacing w:val="6"/>
                <w:szCs w:val="28"/>
              </w:rPr>
              <w:t>、社会科学、公共卫生服务</w:t>
            </w:r>
          </w:p>
        </w:tc>
      </w:tr>
      <w:tr w14:paraId="799681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6E70B58">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00E88E7">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rPr>
              <w:t>延庆区作为北京生态涵养区，地域特征多元，心理健康服务资源分布不均，重点群体心理</w:t>
            </w:r>
            <w:r>
              <w:rPr>
                <w:rFonts w:hint="eastAsia" w:ascii="仿宋_GB2312" w:hAnsi="仿宋_GB2312" w:eastAsia="仿宋_GB2312" w:cs="仿宋_GB2312"/>
                <w:b w:val="0"/>
                <w:bCs/>
                <w:color w:val="000000"/>
                <w:spacing w:val="6"/>
                <w:szCs w:val="28"/>
                <w:lang w:val="en-US" w:eastAsia="zh-CN"/>
              </w:rPr>
              <w:t>素养有待进一步提高，</w:t>
            </w:r>
            <w:r>
              <w:rPr>
                <w:rFonts w:hint="eastAsia" w:ascii="仿宋_GB2312" w:hAnsi="仿宋_GB2312" w:eastAsia="仿宋_GB2312" w:cs="仿宋_GB2312"/>
                <w:b w:val="0"/>
                <w:bCs/>
                <w:color w:val="000000"/>
                <w:spacing w:val="6"/>
                <w:szCs w:val="28"/>
                <w:lang w:val="en-US"/>
              </w:rPr>
              <w:t>医院面临基层心理服务网络不完善等问题。本选题需构建贴合县域实际的心理服务体系，联动多方力量填补服务空白，推动服务下沉，兼具创业攻关条件与实际应用价值，成果需求明确，适合学生创新参与。</w:t>
            </w:r>
          </w:p>
        </w:tc>
      </w:tr>
      <w:tr w14:paraId="62BD03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E9DFC4A">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81FAE24">
            <w:pPr>
              <w:keepNext w:val="0"/>
              <w:keepLines w:val="0"/>
              <w:pageBreakBefore w:val="0"/>
              <w:widowControl w:val="0"/>
              <w:numPr>
                <w:ilvl w:val="0"/>
                <w:numId w:val="6"/>
              </w:numPr>
              <w:kinsoku/>
              <w:wordWrap w:val="0"/>
              <w:topLinePunct w:val="0"/>
              <w:autoSpaceDE/>
              <w:autoSpaceDN/>
              <w:bidi w:val="0"/>
              <w:adjustRightInd w:val="0"/>
              <w:snapToGrid w:val="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需提交完整的方案文本，包含设计思路、服务模式架构、科普体系规划等核心内容，附相关可行性分析报告；</w:t>
            </w:r>
          </w:p>
          <w:p w14:paraId="118DCF39">
            <w:pPr>
              <w:keepNext w:val="0"/>
              <w:keepLines w:val="0"/>
              <w:pageBreakBefore w:val="0"/>
              <w:widowControl w:val="0"/>
              <w:numPr>
                <w:ilvl w:val="0"/>
                <w:numId w:val="6"/>
              </w:numPr>
              <w:kinsoku/>
              <w:wordWrap w:val="0"/>
              <w:topLinePunct w:val="0"/>
              <w:autoSpaceDE/>
              <w:autoSpaceDN/>
              <w:bidi w:val="0"/>
              <w:adjustRightInd w:val="0"/>
              <w:snapToGrid w:val="0"/>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rPr>
              <w:t>需提供详细设计方案，明确技术实现路径；</w:t>
            </w:r>
          </w:p>
          <w:p w14:paraId="5F63F3AD">
            <w:pPr>
              <w:keepNext w:val="0"/>
              <w:keepLines w:val="0"/>
              <w:pageBreakBefore w:val="0"/>
              <w:widowControl w:val="0"/>
              <w:numPr>
                <w:ilvl w:val="0"/>
                <w:numId w:val="6"/>
              </w:numPr>
              <w:kinsoku/>
              <w:wordWrap w:val="0"/>
              <w:topLinePunct w:val="0"/>
              <w:autoSpaceDE/>
              <w:autoSpaceDN/>
              <w:bidi w:val="0"/>
              <w:adjustRightInd w:val="0"/>
              <w:snapToGrid w:val="0"/>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rPr>
              <w:t>方案需结合延庆区情，突出精准性与可操作性，可落地试点；</w:t>
            </w:r>
          </w:p>
          <w:p w14:paraId="450D6394">
            <w:pPr>
              <w:keepNext w:val="0"/>
              <w:keepLines w:val="0"/>
              <w:pageBreakBefore w:val="0"/>
              <w:widowControl w:val="0"/>
              <w:numPr>
                <w:ilvl w:val="0"/>
                <w:numId w:val="6"/>
              </w:numPr>
              <w:kinsoku/>
              <w:wordWrap w:val="0"/>
              <w:topLinePunct w:val="0"/>
              <w:autoSpaceDE/>
              <w:autoSpaceDN/>
              <w:bidi w:val="0"/>
              <w:adjustRightInd w:val="0"/>
              <w:snapToGrid w:val="0"/>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rPr>
              <w:t>提交时间需符合赛事统一安排，格式规范、条理清晰，字数控制在合理范围。</w:t>
            </w:r>
          </w:p>
        </w:tc>
      </w:tr>
      <w:tr w14:paraId="30D486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3F2A4">
            <w:pPr>
              <w:keepNext w:val="0"/>
              <w:keepLines w:val="0"/>
              <w:pageBreakBefore w:val="0"/>
              <w:widowControl w:val="0"/>
              <w:kinsoku/>
              <w:wordWrap w:val="0"/>
              <w:overflowPunct w:val="0"/>
              <w:topLinePunct w:val="0"/>
              <w:autoSpaceDE/>
              <w:autoSpaceDN/>
              <w:bidi w:val="0"/>
              <w:adjustRightInd w:val="0"/>
              <w:snapToGrid w:val="0"/>
              <w:spacing w:line="240" w:lineRule="auto"/>
              <w:jc w:val="center"/>
              <w:textAlignment w:val="auto"/>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779F02D1">
            <w:pPr>
              <w:keepNext w:val="0"/>
              <w:keepLines w:val="0"/>
              <w:pageBreakBefore w:val="0"/>
              <w:widowControl w:val="0"/>
              <w:kinsoku/>
              <w:wordWrap w:val="0"/>
              <w:overflowPunct w:val="0"/>
              <w:topLinePunct w:val="0"/>
              <w:autoSpaceDE/>
              <w:autoSpaceDN/>
              <w:bidi w:val="0"/>
              <w:adjustRightInd w:val="0"/>
              <w:snapToGrid w:val="0"/>
              <w:spacing w:line="240" w:lineRule="auto"/>
              <w:jc w:val="center"/>
              <w:textAlignment w:val="auto"/>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FC2E6">
            <w:pPr>
              <w:keepNext w:val="0"/>
              <w:keepLines w:val="0"/>
              <w:pageBreakBefore w:val="0"/>
              <w:widowControl w:val="0"/>
              <w:numPr>
                <w:ilvl w:val="0"/>
                <w:numId w:val="7"/>
              </w:numPr>
              <w:kinsoku/>
              <w:wordWrap w:val="0"/>
              <w:overflowPunct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落地可行性（30分）：方案贴合延庆区实际，流程清晰、成本可控，可快速在社区试点，无实施壁垒；</w:t>
            </w:r>
          </w:p>
          <w:p w14:paraId="721F91DE">
            <w:pPr>
              <w:keepNext w:val="0"/>
              <w:keepLines w:val="0"/>
              <w:pageBreakBefore w:val="0"/>
              <w:widowControl w:val="0"/>
              <w:numPr>
                <w:ilvl w:val="0"/>
                <w:numId w:val="7"/>
              </w:numPr>
              <w:kinsoku/>
              <w:wordWrap w:val="0"/>
              <w:overflowPunct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创新性（25分）：赋能模式、运营思路有新意，适配基层服务场景，区别于传统服务方案；</w:t>
            </w:r>
          </w:p>
          <w:p w14:paraId="54B8F85E">
            <w:pPr>
              <w:keepNext w:val="0"/>
              <w:keepLines w:val="0"/>
              <w:pageBreakBefore w:val="0"/>
              <w:widowControl w:val="0"/>
              <w:numPr>
                <w:ilvl w:val="0"/>
                <w:numId w:val="7"/>
              </w:numPr>
              <w:kinsoku/>
              <w:wordWrap w:val="0"/>
              <w:overflowPunct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可持续性（20分）：“公益+市场化”运营模式可行，具备长期推广价值；</w:t>
            </w:r>
          </w:p>
          <w:p w14:paraId="1CE1DA62">
            <w:pPr>
              <w:keepNext w:val="0"/>
              <w:keepLines w:val="0"/>
              <w:pageBreakBefore w:val="0"/>
              <w:widowControl w:val="0"/>
              <w:numPr>
                <w:ilvl w:val="0"/>
                <w:numId w:val="7"/>
              </w:numPr>
              <w:kinsoku/>
              <w:wordWrap w:val="0"/>
              <w:overflowPunct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社会价值（15分）：有效助力区域公共卫生服务提升；</w:t>
            </w:r>
          </w:p>
          <w:p w14:paraId="2522F755">
            <w:pPr>
              <w:keepNext w:val="0"/>
              <w:keepLines w:val="0"/>
              <w:pageBreakBefore w:val="0"/>
              <w:widowControl w:val="0"/>
              <w:numPr>
                <w:ilvl w:val="0"/>
                <w:numId w:val="7"/>
              </w:numPr>
              <w:kinsoku/>
              <w:wordWrap w:val="0"/>
              <w:overflowPunct w:val="0"/>
              <w:topLinePunct w:val="0"/>
              <w:autoSpaceDE/>
              <w:autoSpaceDN/>
              <w:bidi w:val="0"/>
              <w:adjustRightInd w:val="0"/>
              <w:snapToGrid w:val="0"/>
              <w:ind w:firstLine="504" w:firstLineChars="200"/>
              <w:textAlignment w:val="auto"/>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完整性（10分）：方案内容完整、逻辑严谨，贴合评审及落地要求。</w:t>
            </w:r>
          </w:p>
        </w:tc>
      </w:tr>
      <w:tr w14:paraId="521067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1A3AC60">
            <w:pPr>
              <w:keepNext w:val="0"/>
              <w:keepLines w:val="0"/>
              <w:pageBreakBefore w:val="0"/>
              <w:widowControl w:val="0"/>
              <w:kinsoku/>
              <w:wordWrap w:val="0"/>
              <w:overflowPunct w:val="0"/>
              <w:topLinePunct w:val="0"/>
              <w:autoSpaceDE/>
              <w:autoSpaceDN/>
              <w:bidi w:val="0"/>
              <w:adjustRightInd w:val="0"/>
              <w:snapToGrid w:val="0"/>
              <w:spacing w:line="240" w:lineRule="auto"/>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04D84D9">
            <w:pPr>
              <w:keepNext w:val="0"/>
              <w:keepLines w:val="0"/>
              <w:pageBreakBefore w:val="0"/>
              <w:widowControl w:val="0"/>
              <w:kinsoku/>
              <w:wordWrap w:val="0"/>
              <w:overflowPunct w:val="0"/>
              <w:topLinePunct w:val="0"/>
              <w:autoSpaceDE/>
              <w:autoSpaceDN/>
              <w:bidi w:val="0"/>
              <w:adjustRightInd w:val="0"/>
              <w:snapToGrid w:val="0"/>
              <w:ind w:firstLine="480"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color w:val="000000"/>
                <w:u w:val="none"/>
              </w:rPr>
              <w:t>需遵守赛事相关规定，尊重延庆区地域特征与实际情况，调研过程中需遵守相关单位管理要求，保护所获取的数据与案例信息。</w:t>
            </w:r>
          </w:p>
        </w:tc>
      </w:tr>
    </w:tbl>
    <w:p w14:paraId="034597F7">
      <w:pPr>
        <w:keepNext w:val="0"/>
        <w:keepLines w:val="0"/>
        <w:pageBreakBefore w:val="0"/>
        <w:widowControl w:val="0"/>
        <w:kinsoku/>
        <w:wordWrap w:val="0"/>
        <w:overflowPunct/>
        <w:topLinePunct w:val="0"/>
        <w:autoSpaceDE/>
        <w:autoSpaceDN/>
        <w:bidi w:val="0"/>
        <w:textAlignment w:val="auto"/>
        <w:rPr>
          <w:rFonts w:hint="eastAsia" w:ascii="方正黑体简体" w:hAnsi="Times New Roman" w:eastAsia="方正黑体简体" w:cs="Times New Roman"/>
          <w:bCs/>
          <w:color w:val="auto"/>
          <w:spacing w:val="6"/>
          <w:sz w:val="32"/>
          <w:szCs w:val="32"/>
        </w:rPr>
      </w:pPr>
      <w:r>
        <w:rPr>
          <w:rFonts w:hint="eastAsia" w:ascii="方正黑体简体" w:eastAsia="方正黑体简体"/>
          <w:bCs/>
          <w:color w:val="auto"/>
          <w:spacing w:val="6"/>
          <w:sz w:val="32"/>
          <w:szCs w:val="32"/>
          <w:lang w:val="en-US" w:eastAsia="zh-CN"/>
        </w:rPr>
        <w:t>三</w:t>
      </w:r>
      <w:r>
        <w:rPr>
          <w:rFonts w:hint="eastAsia" w:ascii="方正黑体简体" w:hAnsi="Times New Roman" w:eastAsia="方正黑体简体" w:cs="Times New Roman"/>
          <w:bCs/>
          <w:color w:val="auto"/>
          <w:spacing w:val="6"/>
          <w:sz w:val="32"/>
          <w:szCs w:val="32"/>
        </w:rPr>
        <w:t>、激励保障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57463A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A092EF9">
            <w:pPr>
              <w:keepNext w:val="0"/>
              <w:keepLines w:val="0"/>
              <w:pageBreakBefore w:val="0"/>
              <w:widowControl w:val="0"/>
              <w:kinsoku/>
              <w:wordWrap w:val="0"/>
              <w:overflowPunct/>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DB4528E">
            <w:pPr>
              <w:keepNext w:val="0"/>
              <w:keepLines w:val="0"/>
              <w:pageBreakBefore w:val="0"/>
              <w:widowControl w:val="0"/>
              <w:kinsoku/>
              <w:wordWrap w:val="0"/>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val="en-US"/>
              </w:rPr>
              <w:t xml:space="preserve">1.专业指导：组建精神卫生诊疗、心理干预、康复管理等领域专家团队，提供专业指导，落实时间为赛事全程，由医院专项联络组统筹保障；2. </w:t>
            </w:r>
            <w:r>
              <w:rPr>
                <w:rFonts w:hint="eastAsia" w:ascii="仿宋_GB2312" w:hAnsi="仿宋_GB2312" w:eastAsia="仿宋_GB2312" w:cs="仿宋_GB2312"/>
                <w:b w:val="0"/>
                <w:bCs/>
                <w:color w:val="000000"/>
                <w:spacing w:val="6"/>
                <w:szCs w:val="28"/>
                <w:lang w:val="en-US" w:eastAsia="zh-CN"/>
              </w:rPr>
              <w:t>实</w:t>
            </w:r>
            <w:r>
              <w:rPr>
                <w:rFonts w:hint="eastAsia" w:ascii="仿宋_GB2312" w:hAnsi="仿宋_GB2312" w:eastAsia="仿宋_GB2312" w:cs="仿宋_GB2312"/>
                <w:b w:val="0"/>
                <w:bCs/>
                <w:color w:val="000000"/>
                <w:spacing w:val="6"/>
                <w:szCs w:val="28"/>
                <w:lang w:val="en-US"/>
              </w:rPr>
              <w:t>践支撑：协调社区、乡镇卫生院等单位，提供实地调研、方案试点场景，协助对接服务对象与合作机构，落实时间为参赛团队攻关阶段，由专项联络组协调推进</w:t>
            </w:r>
            <w:r>
              <w:rPr>
                <w:rFonts w:hint="eastAsia" w:ascii="仿宋_GB2312" w:hAnsi="仿宋_GB2312" w:eastAsia="仿宋_GB2312" w:cs="仿宋_GB2312"/>
                <w:b w:val="0"/>
                <w:bCs/>
                <w:color w:val="000000"/>
                <w:spacing w:val="6"/>
                <w:szCs w:val="28"/>
                <w:lang w:val="en-US" w:eastAsia="zh-CN"/>
              </w:rPr>
              <w:t>。</w:t>
            </w:r>
          </w:p>
        </w:tc>
      </w:tr>
      <w:tr w14:paraId="1258FA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775F9F4">
            <w:pPr>
              <w:keepNext w:val="0"/>
              <w:keepLines w:val="0"/>
              <w:pageBreakBefore w:val="0"/>
              <w:widowControl w:val="0"/>
              <w:kinsoku/>
              <w:wordWrap w:val="0"/>
              <w:overflowPunct/>
              <w:topLinePunct w:val="0"/>
              <w:autoSpaceDE/>
              <w:autoSpaceDN/>
              <w:bidi w:val="0"/>
              <w:adjustRightInd w:val="0"/>
              <w:snapToGrid w:val="0"/>
              <w:spacing w:line="560" w:lineRule="exact"/>
              <w:jc w:val="center"/>
              <w:textAlignment w:val="auto"/>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63F4F51">
            <w:pPr>
              <w:keepNext w:val="0"/>
              <w:keepLines w:val="0"/>
              <w:pageBreakBefore w:val="0"/>
              <w:widowControl w:val="0"/>
              <w:kinsoku/>
              <w:wordWrap w:val="0"/>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一、奖项设置</w:t>
            </w:r>
          </w:p>
          <w:p w14:paraId="63DBC740">
            <w:pPr>
              <w:keepNext w:val="0"/>
              <w:keepLines w:val="0"/>
              <w:pageBreakBefore w:val="0"/>
              <w:widowControl w:val="0"/>
              <w:kinsoku/>
              <w:wordWrap w:val="0"/>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原则上设“擂主”团队1个，根据实际情况评出相应的特等奖、一等奖、二等奖、三等奖项目若干。</w:t>
            </w:r>
          </w:p>
          <w:p w14:paraId="011064D4">
            <w:pPr>
              <w:keepNext w:val="0"/>
              <w:keepLines w:val="0"/>
              <w:pageBreakBefore w:val="0"/>
              <w:widowControl w:val="0"/>
              <w:kinsoku/>
              <w:wordWrap w:val="0"/>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二、激励措施</w:t>
            </w:r>
          </w:p>
          <w:p w14:paraId="2260495F">
            <w:pPr>
              <w:keepNext w:val="0"/>
              <w:keepLines w:val="0"/>
              <w:pageBreakBefore w:val="0"/>
              <w:widowControl w:val="0"/>
              <w:kinsoku/>
              <w:wordWrap w:val="0"/>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1.实习就业：擂主及特等奖团队优先获得医院实习岗位，表现优秀者提供就业绿色通道；2.科研实践：所有获奖团队均可参与医院心理健康相关科研实践项目，联动开展专项调研。</w:t>
            </w:r>
          </w:p>
        </w:tc>
      </w:tr>
    </w:tbl>
    <w:p w14:paraId="643D3C83">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FD584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2587D382">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62009F">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eastAsia="zh-CN"/>
              </w:rPr>
              <w:t>聚焦精神心理健康服务痛点，为解决心理健康服务下沉难、精准度不足等问题提供创新方案，对突破制约心理健康工作发展的瓶颈具有重要推动价值，可为同类相关体系建设提供技术参考。</w:t>
            </w:r>
          </w:p>
        </w:tc>
      </w:tr>
      <w:tr w14:paraId="7F1A7F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D2B323">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68E75">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预期成果可提升延庆区精神卫生服务效能，减少心理危机事件发生，降低公共卫生服务成本；搭建的公益创业模式兼具社会价值与市场潜力，可带动相关就业；为全国同类</w:t>
            </w:r>
            <w:r>
              <w:rPr>
                <w:rFonts w:hint="eastAsia" w:ascii="仿宋_GB2312" w:hAnsi="仿宋_GB2312" w:eastAsia="仿宋_GB2312" w:cs="仿宋_GB2312"/>
                <w:b w:val="0"/>
                <w:bCs/>
                <w:color w:val="000000"/>
                <w:spacing w:val="6"/>
                <w:szCs w:val="28"/>
                <w:u w:val="none"/>
                <w:lang w:eastAsia="zh-CN"/>
              </w:rPr>
              <w:t>区县</w:t>
            </w:r>
            <w:r>
              <w:rPr>
                <w:rFonts w:hint="eastAsia" w:ascii="仿宋_GB2312" w:hAnsi="仿宋_GB2312" w:eastAsia="仿宋_GB2312" w:cs="仿宋_GB2312"/>
                <w:b w:val="0"/>
                <w:bCs/>
                <w:color w:val="000000"/>
                <w:spacing w:val="6"/>
                <w:szCs w:val="28"/>
                <w:u w:val="none"/>
              </w:rPr>
              <w:t>提供可复制、可推广的实践样本，推动精神心理健康服务高质量发展。</w:t>
            </w:r>
          </w:p>
        </w:tc>
      </w:tr>
    </w:tbl>
    <w:p w14:paraId="5B0D32EE">
      <w:pPr>
        <w:keepNext w:val="0"/>
        <w:keepLines w:val="0"/>
        <w:pageBreakBefore w:val="0"/>
        <w:widowControl w:val="0"/>
        <w:kinsoku/>
        <w:wordWrap w:val="0"/>
        <w:overflowPunct/>
        <w:topLinePunct w:val="0"/>
        <w:autoSpaceDE/>
        <w:autoSpaceDN/>
        <w:bidi w:val="0"/>
        <w:textAlignment w:val="auto"/>
        <w:rPr>
          <w:rFonts w:hint="eastAsia" w:ascii="楷体_GB2312" w:hAnsi="楷体_GB2312" w:eastAsia="楷体_GB2312" w:cs="楷体_GB2312"/>
          <w:color w:val="auto"/>
        </w:rPr>
      </w:pPr>
      <w:r>
        <w:rPr>
          <w:rFonts w:hint="eastAsia" w:ascii="楷体_GB2312" w:hAnsi="楷体_GB2312" w:eastAsia="楷体_GB2312" w:cs="楷体_GB2312"/>
          <w:color w:val="auto"/>
        </w:rPr>
        <w:br w:type="page"/>
      </w:r>
    </w:p>
    <w:p w14:paraId="22CD381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“青砺基层”社会治理</w:t>
      </w:r>
      <w:r>
        <w:rPr>
          <w:rFonts w:hint="default" w:ascii="Times New Roman" w:hAnsi="Times New Roman" w:eastAsia="方正小标宋简体" w:cs="Times New Roman"/>
          <w:b w:val="0"/>
          <w:bCs/>
          <w:kern w:val="2"/>
          <w:sz w:val="44"/>
          <w:szCs w:val="32"/>
          <w:highlight w:val="none"/>
          <w:lang w:val="en-US" w:eastAsia="zh-CN"/>
        </w:rPr>
        <w:t>专项赛</w:t>
      </w:r>
    </w:p>
    <w:p w14:paraId="091AA3BE">
      <w:pPr>
        <w:widowControl w:val="0"/>
        <w:tabs>
          <w:tab w:val="left" w:pos="8640"/>
        </w:tabs>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—2</w:t>
      </w:r>
      <w:r>
        <w:rPr>
          <w:rFonts w:hint="eastAsia" w:eastAsia="方正小标宋简体" w:cs="方正小标宋简体"/>
          <w:b w:val="0"/>
          <w:bCs/>
          <w:kern w:val="2"/>
          <w:sz w:val="44"/>
          <w:szCs w:val="32"/>
          <w:highlight w:val="none"/>
          <w:lang w:val="en-US" w:eastAsia="zh-CN"/>
        </w:rPr>
        <w:t>2</w:t>
      </w:r>
    </w:p>
    <w:p w14:paraId="47236A31">
      <w:pPr>
        <w:keepNext w:val="0"/>
        <w:keepLines w:val="0"/>
        <w:pageBreakBefore w:val="0"/>
        <w:widowControl w:val="0"/>
        <w:tabs>
          <w:tab w:val="left" w:pos="8640"/>
        </w:tabs>
        <w:kinsoku/>
        <w:wordWrap w:val="0"/>
        <w:overflowPunct/>
        <w:topLinePunct w:val="0"/>
        <w:autoSpaceDE/>
        <w:autoSpaceDN/>
        <w:bidi w:val="0"/>
        <w:adjustRightInd w:val="0"/>
        <w:snapToGrid w:val="0"/>
        <w:spacing w:line="240" w:lineRule="auto"/>
        <w:textAlignment w:val="auto"/>
        <w:rPr>
          <w:rFonts w:ascii="方正黑体简体" w:eastAsia="方正黑体简体"/>
          <w:bCs/>
          <w:color w:val="auto"/>
          <w:spacing w:val="6"/>
          <w:sz w:val="21"/>
          <w:szCs w:val="21"/>
        </w:rPr>
      </w:pPr>
    </w:p>
    <w:p w14:paraId="5535D2DA">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2424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E1BDAF9">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784FBE83">
            <w:pPr>
              <w:keepNext w:val="0"/>
              <w:keepLines w:val="0"/>
              <w:pageBreakBefore w:val="0"/>
              <w:widowControl w:val="0"/>
              <w:kinsoku/>
              <w:wordWrap w:val="0"/>
              <w:topLinePunct w:val="0"/>
              <w:autoSpaceDE/>
              <w:autoSpaceDN/>
              <w:bidi w:val="0"/>
              <w:adjustRightInd w:val="0"/>
              <w:snapToGrid w:val="0"/>
              <w:jc w:val="center"/>
              <w:rPr>
                <w:rFonts w:hint="default" w:ascii="仿宋_GB2312" w:hAnsi="仿宋_GB2312" w:eastAsia="仿宋_GB2312" w:cs="仿宋_GB2312"/>
                <w:color w:val="auto"/>
                <w:lang w:val="en-US"/>
              </w:rPr>
            </w:pPr>
            <w:r>
              <w:rPr>
                <w:rFonts w:hint="eastAsia" w:ascii="仿宋_GB2312" w:hAnsi="仿宋_GB2312" w:eastAsia="仿宋_GB2312" w:cs="仿宋_GB2312"/>
                <w:bCs/>
                <w:color w:val="auto"/>
                <w:spacing w:val="6"/>
                <w:szCs w:val="28"/>
                <w:lang w:val="en-US" w:eastAsia="zh-CN"/>
              </w:rPr>
              <w:t>中航天宇（北京）文化传播有限公司（纪家庙双创产业园）</w:t>
            </w:r>
          </w:p>
        </w:tc>
      </w:tr>
      <w:tr w14:paraId="266D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3E107BC">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5F50059C">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产业园区</w:t>
            </w:r>
          </w:p>
        </w:tc>
      </w:tr>
      <w:tr w14:paraId="249E7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593D4CF4">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1548BF13">
            <w:pPr>
              <w:keepNext w:val="0"/>
              <w:keepLines w:val="0"/>
              <w:pageBreakBefore w:val="0"/>
              <w:widowControl w:val="0"/>
              <w:kinsoku/>
              <w:wordWrap w:val="0"/>
              <w:topLinePunct w:val="0"/>
              <w:autoSpaceDE/>
              <w:autoSpaceDN/>
              <w:bidi w:val="0"/>
              <w:adjustRightInd w:val="0"/>
              <w:jc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北京市丰台区纪家庙155号</w:t>
            </w:r>
          </w:p>
        </w:tc>
      </w:tr>
      <w:tr w14:paraId="4D4F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7087BE9A">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2ED6C9F4">
            <w:pPr>
              <w:keepNext w:val="0"/>
              <w:keepLines w:val="0"/>
              <w:pageBreakBefore w:val="0"/>
              <w:widowControl w:val="0"/>
              <w:suppressLineNumbers w:val="0"/>
              <w:kinsoku/>
              <w:wordWrap w:val="0"/>
              <w:overflowPunct/>
              <w:topLinePunct w:val="0"/>
              <w:autoSpaceDE/>
              <w:autoSpaceDN/>
              <w:bidi w:val="0"/>
              <w:adjustRightInd/>
              <w:snapToGrid/>
              <w:spacing w:before="157" w:beforeLines="50" w:after="157" w:afterLines="50"/>
              <w:ind w:left="0" w:leftChars="0" w:firstLine="504" w:firstLineChars="200"/>
              <w:jc w:val="left"/>
              <w:textAlignment w:val="auto"/>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rPr>
              <w:t>纪家庙双创产业园前身为宏光纸库，2017年开始逐步升级改造，从原有纸制品仓储空间转型为充满活力与创新的产业园区。园区总占地面积65000余平方米，可出租面积近30000平米。分为东西两区，共20栋建筑。其中，19栋是通过联排方式改造而成的企业独立办公空间，还有1栋是以服务初创企业为主要功能的联合办公空间。园区聚焦科技创新与文化创意，重点引入人工智能、文娱科技、低碳环保等领域企业，配套有文艺书咖，梦工场概念验证中心、VR沉浸大空间、青创小剧场、公共停车场等配套设施，构建了“产业孵化+共享配套”的青年人创新创业生态。</w:t>
            </w:r>
          </w:p>
        </w:tc>
      </w:tr>
      <w:tr w14:paraId="2FA7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2FF6D82B">
            <w:pPr>
              <w:keepNext w:val="0"/>
              <w:keepLines w:val="0"/>
              <w:pageBreakBefore w:val="0"/>
              <w:widowControl w:val="0"/>
              <w:kinsoku/>
              <w:wordWrap w:val="0"/>
              <w:topLinePunct w:val="0"/>
              <w:autoSpaceDE/>
              <w:autoSpaceDN/>
              <w:bidi w:val="0"/>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54766391">
            <w:pPr>
              <w:keepNext w:val="0"/>
              <w:keepLines w:val="0"/>
              <w:pageBreakBefore w:val="0"/>
              <w:widowControl w:val="0"/>
              <w:kinsoku/>
              <w:wordWrap w:val="0"/>
              <w:topLinePunct w:val="0"/>
              <w:autoSpaceDE/>
              <w:autoSpaceDN/>
              <w:bidi w:val="0"/>
              <w:adjustRightInd w:val="0"/>
              <w:snapToGrid w:val="0"/>
              <w:jc w:val="both"/>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张栊罡</w:t>
            </w:r>
          </w:p>
        </w:tc>
        <w:tc>
          <w:tcPr>
            <w:tcW w:w="1073" w:type="dxa"/>
            <w:vAlign w:val="center"/>
          </w:tcPr>
          <w:p w14:paraId="09CD4FDA">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36D2958B">
            <w:pPr>
              <w:keepNext w:val="0"/>
              <w:keepLines w:val="0"/>
              <w:pageBreakBefore w:val="0"/>
              <w:widowControl w:val="0"/>
              <w:kinsoku/>
              <w:wordWrap w:val="0"/>
              <w:topLinePunct w:val="0"/>
              <w:autoSpaceDE/>
              <w:autoSpaceDN/>
              <w:bidi w:val="0"/>
              <w:adjustRightInd w:val="0"/>
              <w:snapToGrid w:val="0"/>
              <w:jc w:val="both"/>
              <w:rPr>
                <w:rFonts w:hint="default" w:ascii="Times New Roman" w:hAnsi="Times New Roman" w:eastAsia="方正仿宋简体" w:cs="Times New Roman"/>
                <w:color w:val="auto"/>
                <w:lang w:val="en-US" w:eastAsia="zh-CN"/>
              </w:rPr>
            </w:pPr>
            <w:r>
              <w:rPr>
                <w:rFonts w:hint="eastAsia" w:ascii="仿宋_GB2312" w:hAnsi="仿宋_GB2312" w:eastAsia="仿宋_GB2312" w:cs="仿宋_GB2312"/>
                <w:bCs/>
                <w:color w:val="auto"/>
                <w:spacing w:val="6"/>
                <w:szCs w:val="28"/>
                <w:lang w:val="en-US" w:eastAsia="zh-CN"/>
              </w:rPr>
              <w:t>运营总监</w:t>
            </w:r>
          </w:p>
        </w:tc>
      </w:tr>
      <w:tr w14:paraId="702A2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57F4F99C">
            <w:pPr>
              <w:keepNext w:val="0"/>
              <w:keepLines w:val="0"/>
              <w:pageBreakBefore w:val="0"/>
              <w:widowControl w:val="0"/>
              <w:kinsoku/>
              <w:wordWrap w:val="0"/>
              <w:topLinePunct w:val="0"/>
              <w:autoSpaceDE/>
              <w:autoSpaceDN/>
              <w:bidi w:val="0"/>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7D345807">
            <w:pPr>
              <w:keepNext w:val="0"/>
              <w:keepLines w:val="0"/>
              <w:pageBreakBefore w:val="0"/>
              <w:widowControl w:val="0"/>
              <w:kinsoku/>
              <w:wordWrap w:val="0"/>
              <w:topLinePunct w:val="0"/>
              <w:autoSpaceDE/>
              <w:autoSpaceDN/>
              <w:bidi w:val="0"/>
              <w:adjustRightInd w:val="0"/>
              <w:snapToGrid w:val="0"/>
              <w:jc w:val="both"/>
              <w:rPr>
                <w:rFonts w:hint="default" w:ascii="仿宋_GB2312" w:hAnsi="仿宋_GB2312" w:eastAsia="仿宋_GB2312" w:cs="仿宋_GB2312"/>
                <w:bCs/>
                <w:color w:val="auto"/>
                <w:spacing w:val="6"/>
                <w:szCs w:val="28"/>
                <w:lang w:val="en-US" w:eastAsia="zh-CN"/>
              </w:rPr>
            </w:pPr>
            <w:r>
              <w:rPr>
                <w:rFonts w:hint="default" w:ascii="Times New Roman" w:hAnsi="Times New Roman" w:eastAsia="仿宋_GB2312" w:cs="Times New Roman"/>
                <w:bCs/>
                <w:color w:val="auto"/>
                <w:spacing w:val="6"/>
                <w:szCs w:val="28"/>
                <w:lang w:val="en-US" w:eastAsia="zh-CN"/>
              </w:rPr>
              <w:t>13581515437</w:t>
            </w:r>
          </w:p>
        </w:tc>
        <w:tc>
          <w:tcPr>
            <w:tcW w:w="1073" w:type="dxa"/>
            <w:vAlign w:val="center"/>
          </w:tcPr>
          <w:p w14:paraId="40850761">
            <w:pPr>
              <w:keepNext w:val="0"/>
              <w:keepLines w:val="0"/>
              <w:pageBreakBefore w:val="0"/>
              <w:widowControl w:val="0"/>
              <w:kinsoku/>
              <w:wordWrap w:val="0"/>
              <w:topLinePunct w:val="0"/>
              <w:autoSpaceDE/>
              <w:autoSpaceDN/>
              <w:bidi w:val="0"/>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71625164">
            <w:pPr>
              <w:keepNext w:val="0"/>
              <w:keepLines w:val="0"/>
              <w:pageBreakBefore w:val="0"/>
              <w:widowControl w:val="0"/>
              <w:kinsoku/>
              <w:wordWrap w:val="0"/>
              <w:topLinePunct w:val="0"/>
              <w:autoSpaceDE/>
              <w:autoSpaceDN/>
              <w:bidi w:val="0"/>
              <w:adjustRightInd w:val="0"/>
              <w:jc w:val="left"/>
              <w:rPr>
                <w:rFonts w:hint="eastAsia" w:ascii="Times New Roman" w:hAnsi="Times New Roman" w:eastAsia="方正仿宋简体" w:cs="Times New Roman"/>
                <w:color w:val="auto"/>
              </w:rPr>
            </w:pPr>
            <w:r>
              <w:rPr>
                <w:rFonts w:hint="eastAsia" w:ascii="Times New Roman" w:hAnsi="Times New Roman" w:eastAsia="仿宋_GB2312" w:cs="Times New Roman"/>
                <w:bCs/>
                <w:color w:val="auto"/>
                <w:spacing w:val="6"/>
                <w:szCs w:val="28"/>
                <w:lang w:val="en-US" w:eastAsia="zh-CN"/>
              </w:rPr>
              <w:t>13581515437</w:t>
            </w:r>
          </w:p>
        </w:tc>
      </w:tr>
    </w:tbl>
    <w:p w14:paraId="4159CA67">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634"/>
        <w:gridCol w:w="6870"/>
      </w:tblGrid>
      <w:tr w14:paraId="649F71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80" w:hRule="atLeast"/>
          <w:jc w:val="center"/>
        </w:trPr>
        <w:tc>
          <w:tcPr>
            <w:tcW w:w="163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BB0EAE0">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870"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221653C">
            <w:pPr>
              <w:keepNext w:val="0"/>
              <w:keepLines w:val="0"/>
              <w:pageBreakBefore w:val="0"/>
              <w:widowControl w:val="0"/>
              <w:kinsoku/>
              <w:wordWrap w:val="0"/>
              <w:topLinePunct w:val="0"/>
              <w:autoSpaceDE/>
              <w:autoSpaceDN/>
              <w:bidi w:val="0"/>
              <w:adjustRightInd w:val="0"/>
              <w:snapToGrid w:val="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val="en-US" w:eastAsia="zh-CN"/>
              </w:rPr>
              <w:t>“智园管家”——AI 驱动的园区全场景智能化管理解决方案</w:t>
            </w:r>
          </w:p>
        </w:tc>
      </w:tr>
      <w:tr w14:paraId="57926B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866" w:hRule="atLeast"/>
          <w:jc w:val="center"/>
        </w:trPr>
        <w:tc>
          <w:tcPr>
            <w:tcW w:w="163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3A1320C">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870"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324EF87">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val="en-US" w:eastAsia="zh-CN"/>
              </w:rPr>
              <w:t>具身智能机器人</w:t>
            </w:r>
          </w:p>
        </w:tc>
      </w:tr>
      <w:tr w14:paraId="4730EC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618" w:hRule="atLeast"/>
          <w:jc w:val="center"/>
        </w:trPr>
        <w:tc>
          <w:tcPr>
            <w:tcW w:w="163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BBB86FF">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870"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75906B0">
            <w:pPr>
              <w:keepNext w:val="0"/>
              <w:keepLines w:val="0"/>
              <w:pageBreakBefore w:val="0"/>
              <w:widowControl w:val="0"/>
              <w:kinsoku/>
              <w:wordWrap w:val="0"/>
              <w:topLinePunct w:val="0"/>
              <w:autoSpaceDE/>
              <w:autoSpaceDN/>
              <w:bidi w:val="0"/>
              <w:adjustRightInd w:val="0"/>
              <w:snapToGrid w:val="0"/>
              <w:ind w:firstLine="504" w:firstLineChars="200"/>
              <w:jc w:val="both"/>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rPr>
              <w:t>本选题聚焦</w:t>
            </w:r>
            <w:r>
              <w:rPr>
                <w:rFonts w:hint="eastAsia" w:ascii="仿宋_GB2312" w:hAnsi="仿宋_GB2312" w:eastAsia="仿宋_GB2312" w:cs="仿宋_GB2312"/>
                <w:b/>
                <w:bCs w:val="0"/>
                <w:color w:val="000000"/>
                <w:spacing w:val="6"/>
                <w:szCs w:val="28"/>
                <w:lang w:val="en-US"/>
              </w:rPr>
              <w:t>AI 技术与园区管理</w:t>
            </w:r>
            <w:r>
              <w:rPr>
                <w:rFonts w:hint="eastAsia" w:ascii="仿宋_GB2312" w:hAnsi="仿宋_GB2312" w:eastAsia="仿宋_GB2312" w:cs="仿宋_GB2312"/>
                <w:b w:val="0"/>
                <w:bCs/>
                <w:color w:val="000000"/>
                <w:spacing w:val="6"/>
                <w:szCs w:val="28"/>
                <w:lang w:val="en-US"/>
              </w:rPr>
              <w:t>的深度融合，</w:t>
            </w:r>
            <w:r>
              <w:rPr>
                <w:rFonts w:hint="eastAsia" w:ascii="仿宋_GB2312" w:hAnsi="仿宋_GB2312" w:eastAsia="仿宋_GB2312" w:cs="仿宋_GB2312"/>
                <w:b w:val="0"/>
                <w:bCs/>
                <w:color w:val="000000"/>
                <w:spacing w:val="6"/>
                <w:szCs w:val="28"/>
                <w:lang w:val="en-US" w:eastAsia="zh-CN"/>
              </w:rPr>
              <w:t>以</w:t>
            </w:r>
            <w:r>
              <w:rPr>
                <w:rFonts w:hint="eastAsia" w:ascii="仿宋_GB2312" w:hAnsi="仿宋_GB2312" w:eastAsia="仿宋_GB2312" w:cs="仿宋_GB2312"/>
                <w:b w:val="0"/>
                <w:bCs/>
                <w:color w:val="000000"/>
                <w:spacing w:val="6"/>
                <w:szCs w:val="28"/>
                <w:lang w:val="en-US"/>
              </w:rPr>
              <w:t>“降本</w:t>
            </w:r>
            <w:r>
              <w:rPr>
                <w:rFonts w:ascii="宋体" w:hAnsi="宋体" w:eastAsia="宋体" w:cs="宋体"/>
                <w:sz w:val="24"/>
                <w:szCs w:val="24"/>
              </w:rPr>
              <w:t>、</w:t>
            </w:r>
            <w:r>
              <w:rPr>
                <w:rFonts w:hint="eastAsia" w:ascii="仿宋_GB2312" w:hAnsi="仿宋_GB2312" w:eastAsia="仿宋_GB2312" w:cs="仿宋_GB2312"/>
                <w:b w:val="0"/>
                <w:bCs/>
                <w:color w:val="000000"/>
                <w:spacing w:val="6"/>
                <w:szCs w:val="28"/>
                <w:lang w:val="en-US"/>
              </w:rPr>
              <w:t>增效、提质”</w:t>
            </w:r>
            <w:r>
              <w:rPr>
                <w:rFonts w:hint="eastAsia" w:ascii="仿宋_GB2312" w:hAnsi="仿宋_GB2312" w:eastAsia="仿宋_GB2312" w:cs="仿宋_GB2312"/>
                <w:b w:val="0"/>
                <w:bCs/>
                <w:color w:val="000000"/>
                <w:spacing w:val="6"/>
                <w:szCs w:val="28"/>
                <w:lang w:val="en-US" w:eastAsia="zh-CN"/>
              </w:rPr>
              <w:t>为</w:t>
            </w:r>
            <w:r>
              <w:rPr>
                <w:rFonts w:hint="eastAsia" w:ascii="仿宋_GB2312" w:hAnsi="仿宋_GB2312" w:eastAsia="仿宋_GB2312" w:cs="仿宋_GB2312"/>
                <w:b w:val="0"/>
                <w:bCs/>
                <w:color w:val="000000"/>
                <w:spacing w:val="6"/>
                <w:szCs w:val="28"/>
                <w:lang w:val="en-US"/>
              </w:rPr>
              <w:t>核心目标</w:t>
            </w:r>
            <w:r>
              <w:rPr>
                <w:rFonts w:hint="eastAsia" w:ascii="仿宋_GB2312" w:hAnsi="仿宋_GB2312" w:eastAsia="仿宋_GB2312" w:cs="仿宋_GB2312"/>
                <w:b w:val="0"/>
                <w:bCs/>
                <w:color w:val="000000"/>
                <w:spacing w:val="6"/>
                <w:szCs w:val="28"/>
                <w:lang w:val="en-US" w:eastAsia="zh-CN"/>
              </w:rPr>
              <w:t>，围绕园区安防、中控管理、园区服务三个方面</w:t>
            </w:r>
            <w:r>
              <w:rPr>
                <w:rFonts w:hint="eastAsia" w:ascii="仿宋_GB2312" w:hAnsi="仿宋_GB2312" w:eastAsia="仿宋_GB2312" w:cs="仿宋_GB2312"/>
                <w:b w:val="0"/>
                <w:bCs/>
                <w:color w:val="000000"/>
                <w:spacing w:val="6"/>
                <w:szCs w:val="28"/>
                <w:lang w:val="en-US"/>
              </w:rPr>
              <w:t>提出</w:t>
            </w:r>
            <w:r>
              <w:rPr>
                <w:rFonts w:hint="eastAsia" w:ascii="仿宋_GB2312" w:hAnsi="仿宋_GB2312" w:eastAsia="仿宋_GB2312" w:cs="仿宋_GB2312"/>
                <w:b w:val="0"/>
                <w:bCs/>
                <w:color w:val="000000"/>
                <w:spacing w:val="6"/>
                <w:szCs w:val="28"/>
                <w:lang w:val="en-US" w:eastAsia="zh-CN"/>
              </w:rPr>
              <w:t>智能化管理</w:t>
            </w:r>
            <w:r>
              <w:rPr>
                <w:rFonts w:hint="eastAsia" w:ascii="仿宋_GB2312" w:hAnsi="仿宋_GB2312" w:eastAsia="仿宋_GB2312" w:cs="仿宋_GB2312"/>
                <w:b w:val="0"/>
                <w:bCs/>
                <w:color w:val="000000"/>
                <w:spacing w:val="6"/>
                <w:szCs w:val="28"/>
                <w:lang w:val="en-US"/>
              </w:rPr>
              <w:t>解决方案，实现从“人工管理”向“智能决策”、从“被动响应”向“主动预警”、从“标准化服务”向“个性化适配”的转型。</w:t>
            </w:r>
          </w:p>
          <w:p w14:paraId="2BD27C2B">
            <w:pPr>
              <w:keepNext w:val="0"/>
              <w:keepLines w:val="0"/>
              <w:pageBreakBefore w:val="0"/>
              <w:widowControl w:val="0"/>
              <w:kinsoku/>
              <w:wordWrap w:val="0"/>
              <w:topLinePunct w:val="0"/>
              <w:autoSpaceDE/>
              <w:autoSpaceDN/>
              <w:bidi w:val="0"/>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当下园区管理的核心痛点与相关场景：</w:t>
            </w:r>
          </w:p>
          <w:p w14:paraId="4AC50CEC">
            <w:pPr>
              <w:keepNext w:val="0"/>
              <w:keepLines w:val="0"/>
              <w:pageBreakBefore w:val="0"/>
              <w:widowControl w:val="0"/>
              <w:numPr>
                <w:ilvl w:val="0"/>
                <w:numId w:val="8"/>
              </w:numPr>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bCs w:val="0"/>
                <w:color w:val="000000"/>
                <w:spacing w:val="6"/>
                <w:szCs w:val="28"/>
                <w:lang w:val="en-US"/>
              </w:rPr>
              <w:t>安防管理：</w:t>
            </w:r>
            <w:r>
              <w:rPr>
                <w:rFonts w:hint="eastAsia" w:ascii="仿宋_GB2312" w:hAnsi="仿宋_GB2312" w:eastAsia="仿宋_GB2312" w:cs="仿宋_GB2312"/>
                <w:b w:val="0"/>
                <w:bCs/>
                <w:color w:val="000000"/>
                <w:spacing w:val="6"/>
                <w:szCs w:val="28"/>
                <w:lang w:val="en-US"/>
              </w:rPr>
              <w:t>安防工作过度依赖人工巡逻与固定摄像头监控，存在人防成本高、预警响应滞后等</w:t>
            </w:r>
            <w:r>
              <w:rPr>
                <w:rFonts w:hint="eastAsia" w:ascii="仿宋_GB2312" w:hAnsi="仿宋_GB2312" w:eastAsia="仿宋_GB2312" w:cs="仿宋_GB2312"/>
                <w:b w:val="0"/>
                <w:bCs/>
                <w:color w:val="000000"/>
                <w:spacing w:val="6"/>
                <w:szCs w:val="28"/>
                <w:lang w:val="en-US" w:eastAsia="zh-CN"/>
              </w:rPr>
              <w:t>问题。相关场景有：</w:t>
            </w:r>
            <w:r>
              <w:rPr>
                <w:rFonts w:hint="eastAsia" w:ascii="仿宋_GB2312" w:hAnsi="仿宋_GB2312" w:eastAsia="仿宋_GB2312" w:cs="仿宋_GB2312"/>
                <w:b w:val="0"/>
                <w:bCs/>
                <w:color w:val="000000"/>
                <w:spacing w:val="6"/>
                <w:szCs w:val="28"/>
                <w:lang w:val="en-US"/>
              </w:rPr>
              <w:t>园区内企业物资运输、外来人员流动、消防隐患排查、夜间常态化巡逻等。</w:t>
            </w:r>
          </w:p>
          <w:p w14:paraId="7F2DAC3D">
            <w:pPr>
              <w:keepNext w:val="0"/>
              <w:keepLines w:val="0"/>
              <w:pageBreakBefore w:val="0"/>
              <w:widowControl w:val="0"/>
              <w:numPr>
                <w:ilvl w:val="0"/>
                <w:numId w:val="8"/>
              </w:numPr>
              <w:kinsoku/>
              <w:wordWrap w:val="0"/>
              <w:topLinePunct w:val="0"/>
              <w:autoSpaceDE/>
              <w:autoSpaceDN/>
              <w:bidi w:val="0"/>
              <w:adjustRightInd w:val="0"/>
              <w:snapToGrid w:val="0"/>
              <w:ind w:firstLine="506"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bCs w:val="0"/>
                <w:color w:val="000000"/>
                <w:spacing w:val="6"/>
                <w:szCs w:val="28"/>
                <w:lang w:val="en-US"/>
              </w:rPr>
              <w:t>中控管理：</w:t>
            </w:r>
            <w:r>
              <w:rPr>
                <w:rFonts w:hint="eastAsia" w:ascii="仿宋_GB2312" w:hAnsi="仿宋_GB2312" w:eastAsia="仿宋_GB2312" w:cs="仿宋_GB2312"/>
                <w:b w:val="0"/>
                <w:bCs/>
                <w:color w:val="000000"/>
                <w:spacing w:val="6"/>
                <w:szCs w:val="28"/>
                <w:lang w:val="en-US"/>
              </w:rPr>
              <w:t>园区中控系统数据孤立，安防、设备运维等系统各自为政，需人工切换平台汇总信息，难以实现园区全局态势感知。</w:t>
            </w:r>
          </w:p>
          <w:p w14:paraId="79E2DE3A">
            <w:pPr>
              <w:keepNext w:val="0"/>
              <w:keepLines w:val="0"/>
              <w:pageBreakBefore w:val="0"/>
              <w:widowControl w:val="0"/>
              <w:numPr>
                <w:ilvl w:val="0"/>
                <w:numId w:val="8"/>
              </w:numPr>
              <w:kinsoku/>
              <w:wordWrap w:val="0"/>
              <w:topLinePunct w:val="0"/>
              <w:autoSpaceDE/>
              <w:autoSpaceDN/>
              <w:bidi w:val="0"/>
              <w:adjustRightInd w:val="0"/>
              <w:snapToGrid w:val="0"/>
              <w:ind w:firstLine="506" w:firstLineChars="200"/>
              <w:jc w:val="both"/>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bCs w:val="0"/>
                <w:color w:val="000000"/>
                <w:spacing w:val="6"/>
                <w:szCs w:val="28"/>
                <w:lang w:val="en-US" w:eastAsia="zh-CN"/>
              </w:rPr>
              <w:t>园区服务：</w:t>
            </w:r>
            <w:r>
              <w:rPr>
                <w:rFonts w:hint="eastAsia" w:ascii="仿宋_GB2312" w:hAnsi="仿宋_GB2312" w:eastAsia="仿宋_GB2312" w:cs="仿宋_GB2312"/>
                <w:b w:val="0"/>
                <w:bCs/>
                <w:color w:val="000000"/>
                <w:spacing w:val="6"/>
                <w:szCs w:val="28"/>
                <w:lang w:val="en-US"/>
              </w:rPr>
              <w:t>一方面，对入驻企业的差异化需求缺乏精准洞察与主动对接能力</w:t>
            </w:r>
            <w:r>
              <w:rPr>
                <w:rFonts w:hint="eastAsia" w:ascii="仿宋_GB2312" w:hAnsi="仿宋_GB2312" w:eastAsia="仿宋_GB2312" w:cs="仿宋_GB2312"/>
                <w:b w:val="0"/>
                <w:bCs/>
                <w:color w:val="000000"/>
                <w:spacing w:val="6"/>
                <w:szCs w:val="28"/>
                <w:lang w:val="en-US" w:eastAsia="zh-CN"/>
              </w:rPr>
              <w:t>，</w:t>
            </w:r>
            <w:r>
              <w:rPr>
                <w:rFonts w:hint="eastAsia" w:ascii="仿宋_GB2312" w:hAnsi="仿宋_GB2312" w:eastAsia="仿宋_GB2312" w:cs="仿宋_GB2312"/>
                <w:b w:val="0"/>
                <w:bCs/>
                <w:color w:val="000000"/>
                <w:spacing w:val="6"/>
                <w:szCs w:val="28"/>
                <w:lang w:val="en-US"/>
              </w:rPr>
              <w:t>如企业的政策申报、资源对接、人才招聘，供应链配套</w:t>
            </w:r>
            <w:r>
              <w:rPr>
                <w:rFonts w:hint="eastAsia" w:ascii="仿宋_GB2312" w:hAnsi="仿宋_GB2312" w:eastAsia="仿宋_GB2312" w:cs="仿宋_GB2312"/>
                <w:b w:val="0"/>
                <w:bCs/>
                <w:color w:val="000000"/>
                <w:spacing w:val="6"/>
                <w:szCs w:val="28"/>
                <w:lang w:val="en-US" w:eastAsia="zh-CN"/>
              </w:rPr>
              <w:t>。另一方面，园区</w:t>
            </w:r>
            <w:r>
              <w:rPr>
                <w:rFonts w:hint="eastAsia" w:ascii="仿宋_GB2312" w:hAnsi="仿宋_GB2312" w:eastAsia="仿宋_GB2312" w:cs="仿宋_GB2312"/>
                <w:b w:val="0"/>
                <w:bCs/>
                <w:color w:val="000000"/>
                <w:spacing w:val="6"/>
                <w:szCs w:val="28"/>
                <w:lang w:val="en-US"/>
              </w:rPr>
              <w:t>导览、跑腿服务</w:t>
            </w:r>
            <w:r>
              <w:rPr>
                <w:rFonts w:hint="eastAsia" w:ascii="仿宋_GB2312" w:hAnsi="仿宋_GB2312" w:eastAsia="仿宋_GB2312" w:cs="仿宋_GB2312"/>
                <w:b w:val="0"/>
                <w:bCs/>
                <w:color w:val="000000"/>
                <w:spacing w:val="6"/>
                <w:szCs w:val="28"/>
                <w:lang w:val="en-US" w:eastAsia="zh-CN"/>
              </w:rPr>
              <w:t>也可以</w:t>
            </w:r>
            <w:r>
              <w:rPr>
                <w:rFonts w:hint="eastAsia" w:ascii="仿宋_GB2312" w:hAnsi="仿宋_GB2312" w:eastAsia="仿宋_GB2312" w:cs="仿宋_GB2312"/>
                <w:b w:val="0"/>
                <w:bCs/>
                <w:color w:val="000000"/>
                <w:spacing w:val="6"/>
                <w:szCs w:val="28"/>
                <w:lang w:val="en-US"/>
              </w:rPr>
              <w:t>智能化</w:t>
            </w:r>
            <w:r>
              <w:rPr>
                <w:rFonts w:hint="eastAsia" w:ascii="仿宋_GB2312" w:hAnsi="仿宋_GB2312" w:eastAsia="仿宋_GB2312" w:cs="仿宋_GB2312"/>
                <w:b w:val="0"/>
                <w:bCs/>
                <w:color w:val="000000"/>
                <w:spacing w:val="6"/>
                <w:szCs w:val="28"/>
                <w:lang w:val="en-US" w:eastAsia="zh-CN"/>
              </w:rPr>
              <w:t>。</w:t>
            </w:r>
          </w:p>
          <w:p w14:paraId="7CE7BA77">
            <w:pPr>
              <w:keepNext w:val="0"/>
              <w:keepLines w:val="0"/>
              <w:pageBreakBefore w:val="0"/>
              <w:widowControl w:val="0"/>
              <w:numPr>
                <w:ilvl w:val="0"/>
                <w:numId w:val="0"/>
              </w:numPr>
              <w:kinsoku/>
              <w:wordWrap w:val="0"/>
              <w:topLinePunct w:val="0"/>
              <w:autoSpaceDE/>
              <w:autoSpaceDN/>
              <w:bidi w:val="0"/>
              <w:adjustRightInd w:val="0"/>
              <w:snapToGrid w:val="0"/>
              <w:jc w:val="both"/>
              <w:rPr>
                <w:rFonts w:hint="default" w:ascii="仿宋_GB2312" w:hAnsi="仿宋_GB2312" w:eastAsia="仿宋_GB2312" w:cs="仿宋_GB2312"/>
                <w:b w:val="0"/>
                <w:bCs/>
                <w:color w:val="000000"/>
                <w:spacing w:val="6"/>
                <w:szCs w:val="28"/>
                <w:lang w:val="en-US" w:eastAsia="zh-CN"/>
              </w:rPr>
            </w:pPr>
          </w:p>
        </w:tc>
      </w:tr>
      <w:tr w14:paraId="4E1FC4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63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9AE3403">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870"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F692788">
            <w:pPr>
              <w:keepNext w:val="0"/>
              <w:keepLines w:val="0"/>
              <w:pageBreakBefore w:val="0"/>
              <w:widowControl w:val="0"/>
              <w:numPr>
                <w:ilvl w:val="0"/>
                <w:numId w:val="0"/>
              </w:numPr>
              <w:kinsoku/>
              <w:wordWrap w:val="0"/>
              <w:topLinePunct w:val="0"/>
              <w:autoSpaceDE/>
              <w:autoSpaceDN/>
              <w:bidi w:val="0"/>
              <w:adjustRightInd w:val="0"/>
              <w:snapToGrid w:val="0"/>
              <w:rPr>
                <w:rFonts w:hint="eastAsia" w:ascii="仿宋_GB2312" w:hAnsi="仿宋_GB2312" w:eastAsia="仿宋_GB2312" w:cs="仿宋_GB2312"/>
                <w:b w:val="0"/>
                <w:color w:val="000000"/>
              </w:rPr>
            </w:pPr>
            <w:r>
              <w:rPr>
                <w:rFonts w:hint="eastAsia" w:ascii="仿宋_GB2312" w:hAnsi="仿宋_GB2312" w:eastAsia="仿宋_GB2312" w:cs="仿宋_GB2312"/>
                <w:b/>
                <w:bCs/>
                <w:color w:val="000000"/>
                <w:lang w:val="en-US" w:eastAsia="zh-CN"/>
              </w:rPr>
              <w:t>1.</w:t>
            </w:r>
            <w:r>
              <w:rPr>
                <w:rFonts w:hint="eastAsia" w:ascii="仿宋_GB2312" w:hAnsi="仿宋_GB2312" w:eastAsia="仿宋_GB2312" w:cs="仿宋_GB2312"/>
                <w:b/>
                <w:bCs/>
                <w:color w:val="000000"/>
              </w:rPr>
              <w:t>方案完整性：</w:t>
            </w:r>
            <w:r>
              <w:rPr>
                <w:rFonts w:hint="eastAsia" w:ascii="仿宋_GB2312" w:hAnsi="仿宋_GB2312" w:eastAsia="仿宋_GB2312" w:cs="仿宋_GB2312"/>
                <w:b w:val="0"/>
                <w:color w:val="000000"/>
              </w:rPr>
              <w:t>需提交完整的创业计划书及技术实施方案，涵盖核心技术架构、场景落地路径、商业模式、运营规划、风险防控等内容，具备可落地性。</w:t>
            </w:r>
          </w:p>
          <w:p w14:paraId="1CC6CD0E">
            <w:pPr>
              <w:keepNext w:val="0"/>
              <w:keepLines w:val="0"/>
              <w:pageBreakBefore w:val="0"/>
              <w:widowControl w:val="0"/>
              <w:numPr>
                <w:ilvl w:val="0"/>
                <w:numId w:val="0"/>
              </w:numPr>
              <w:kinsoku/>
              <w:wordWrap w:val="0"/>
              <w:topLinePunct w:val="0"/>
              <w:autoSpaceDE/>
              <w:autoSpaceDN/>
              <w:bidi w:val="0"/>
              <w:adjustRightInd w:val="0"/>
              <w:snapToGrid w:val="0"/>
              <w:rPr>
                <w:rFonts w:hint="eastAsia" w:ascii="仿宋_GB2312" w:hAnsi="仿宋_GB2312" w:eastAsia="仿宋_GB2312" w:cs="仿宋_GB2312"/>
                <w:b w:val="0"/>
                <w:color w:val="000000"/>
              </w:rPr>
            </w:pPr>
            <w:r>
              <w:rPr>
                <w:rFonts w:hint="eastAsia" w:ascii="仿宋_GB2312" w:hAnsi="仿宋_GB2312" w:eastAsia="仿宋_GB2312" w:cs="仿宋_GB2312"/>
                <w:b/>
                <w:bCs/>
                <w:color w:val="000000"/>
                <w:lang w:val="en-US" w:eastAsia="zh-CN"/>
              </w:rPr>
              <w:t>2.</w:t>
            </w:r>
            <w:r>
              <w:rPr>
                <w:rFonts w:hint="eastAsia" w:ascii="仿宋_GB2312" w:hAnsi="仿宋_GB2312" w:eastAsia="仿宋_GB2312" w:cs="仿宋_GB2312"/>
                <w:b/>
                <w:bCs/>
                <w:color w:val="000000"/>
              </w:rPr>
              <w:t>技术创新性：</w:t>
            </w:r>
            <w:r>
              <w:rPr>
                <w:rFonts w:hint="eastAsia" w:ascii="仿宋_GB2312" w:hAnsi="仿宋_GB2312" w:eastAsia="仿宋_GB2312" w:cs="仿宋_GB2312"/>
                <w:b w:val="0"/>
                <w:color w:val="000000"/>
              </w:rPr>
              <w:t>聚焦具身智能机器人技术应用，突出AI算法、智能硬件集成等核心技术的创新性，需体现与现有园区智能化方案的差异化优势，避免同质化。</w:t>
            </w:r>
          </w:p>
          <w:p w14:paraId="322F4F97">
            <w:pPr>
              <w:keepNext w:val="0"/>
              <w:keepLines w:val="0"/>
              <w:pageBreakBefore w:val="0"/>
              <w:widowControl w:val="0"/>
              <w:numPr>
                <w:ilvl w:val="0"/>
                <w:numId w:val="0"/>
              </w:numPr>
              <w:kinsoku/>
              <w:wordWrap w:val="0"/>
              <w:topLinePunct w:val="0"/>
              <w:autoSpaceDE/>
              <w:autoSpaceDN/>
              <w:bidi w:val="0"/>
              <w:adjustRightInd w:val="0"/>
              <w:snapToGrid w:val="0"/>
              <w:rPr>
                <w:rFonts w:hint="eastAsia" w:ascii="仿宋_GB2312" w:hAnsi="仿宋_GB2312" w:eastAsia="仿宋_GB2312" w:cs="仿宋_GB2312"/>
                <w:b w:val="0"/>
                <w:color w:val="000000"/>
              </w:rPr>
            </w:pPr>
            <w:r>
              <w:rPr>
                <w:rFonts w:hint="eastAsia" w:ascii="仿宋_GB2312" w:hAnsi="仿宋_GB2312" w:eastAsia="仿宋_GB2312" w:cs="仿宋_GB2312"/>
                <w:b/>
                <w:bCs/>
                <w:color w:val="000000"/>
                <w:lang w:val="en-US" w:eastAsia="zh-CN"/>
              </w:rPr>
              <w:t>3.</w:t>
            </w:r>
            <w:r>
              <w:rPr>
                <w:rFonts w:hint="eastAsia" w:ascii="仿宋_GB2312" w:hAnsi="仿宋_GB2312" w:eastAsia="仿宋_GB2312" w:cs="仿宋_GB2312"/>
                <w:b/>
                <w:bCs/>
                <w:color w:val="000000"/>
              </w:rPr>
              <w:t>落地可行性：</w:t>
            </w:r>
            <w:r>
              <w:rPr>
                <w:rFonts w:hint="eastAsia" w:ascii="仿宋_GB2312" w:hAnsi="仿宋_GB2312" w:eastAsia="仿宋_GB2312" w:cs="仿宋_GB2312"/>
                <w:b w:val="0"/>
                <w:color w:val="000000"/>
              </w:rPr>
              <w:t>方案需适配园区现有基础设施，明确硬件部署成本、软件开发周期、人员配置需求，提出分阶段落地计划（如试点测试、全面推广），需测算投入产出比，说明降本增效的具体预期。</w:t>
            </w:r>
          </w:p>
          <w:p w14:paraId="091A24A2">
            <w:pPr>
              <w:keepNext w:val="0"/>
              <w:keepLines w:val="0"/>
              <w:pageBreakBefore w:val="0"/>
              <w:widowControl w:val="0"/>
              <w:numPr>
                <w:ilvl w:val="0"/>
                <w:numId w:val="0"/>
              </w:numPr>
              <w:kinsoku/>
              <w:wordWrap w:val="0"/>
              <w:topLinePunct w:val="0"/>
              <w:autoSpaceDE/>
              <w:autoSpaceDN/>
              <w:bidi w:val="0"/>
              <w:adjustRightInd w:val="0"/>
              <w:snapToGrid w:val="0"/>
              <w:rPr>
                <w:rFonts w:hint="eastAsia" w:ascii="仿宋_GB2312" w:hAnsi="仿宋_GB2312" w:eastAsia="仿宋_GB2312" w:cs="仿宋_GB2312"/>
                <w:b w:val="0"/>
                <w:color w:val="000000"/>
              </w:rPr>
            </w:pPr>
            <w:r>
              <w:rPr>
                <w:rFonts w:hint="eastAsia" w:ascii="仿宋_GB2312" w:hAnsi="仿宋_GB2312" w:eastAsia="仿宋_GB2312" w:cs="仿宋_GB2312"/>
                <w:b/>
                <w:bCs/>
                <w:color w:val="000000"/>
                <w:lang w:val="en-US" w:eastAsia="zh-CN"/>
              </w:rPr>
              <w:t>4.</w:t>
            </w:r>
            <w:r>
              <w:rPr>
                <w:rFonts w:hint="eastAsia" w:ascii="仿宋_GB2312" w:hAnsi="仿宋_GB2312" w:eastAsia="仿宋_GB2312" w:cs="仿宋_GB2312"/>
                <w:b/>
                <w:bCs/>
                <w:color w:val="000000"/>
              </w:rPr>
              <w:t>提交形式及时间：</w:t>
            </w:r>
            <w:r>
              <w:rPr>
                <w:rFonts w:hint="eastAsia" w:ascii="仿宋_GB2312" w:hAnsi="仿宋_GB2312" w:eastAsia="仿宋_GB2312" w:cs="仿宋_GB2312"/>
                <w:b w:val="0"/>
                <w:color w:val="000000"/>
              </w:rPr>
              <w:t>需</w:t>
            </w:r>
            <w:r>
              <w:rPr>
                <w:rFonts w:hint="eastAsia" w:ascii="仿宋_GB2312" w:hAnsi="仿宋_GB2312" w:eastAsia="仿宋_GB2312" w:cs="仿宋_GB2312"/>
                <w:b w:val="0"/>
                <w:color w:val="000000"/>
                <w:lang w:eastAsia="zh-CN"/>
              </w:rPr>
              <w:t>提交</w:t>
            </w:r>
            <w:r>
              <w:rPr>
                <w:rFonts w:hint="eastAsia" w:ascii="仿宋_GB2312" w:hAnsi="仿宋_GB2312" w:eastAsia="仿宋_GB2312" w:cs="仿宋_GB2312"/>
                <w:b w:val="0"/>
                <w:color w:val="000000"/>
              </w:rPr>
              <w:t>创业计划书</w:t>
            </w:r>
            <w:r>
              <w:rPr>
                <w:rFonts w:hint="eastAsia" w:ascii="仿宋_GB2312" w:hAnsi="仿宋_GB2312" w:eastAsia="仿宋_GB2312" w:cs="仿宋_GB2312"/>
                <w:b w:val="0"/>
                <w:color w:val="000000"/>
                <w:lang w:val="en-US" w:eastAsia="zh-CN"/>
              </w:rPr>
              <w:t>PPT演示文稿一</w:t>
            </w:r>
            <w:r>
              <w:rPr>
                <w:rFonts w:hint="eastAsia" w:ascii="仿宋_GB2312" w:hAnsi="仿宋_GB2312" w:eastAsia="仿宋_GB2312" w:cs="仿宋_GB2312"/>
                <w:b w:val="0"/>
                <w:color w:val="000000"/>
              </w:rPr>
              <w:t>份，电子版提交至联系人微信，提交截止时间同步遵循大赛组委会统一安排，逾期视为无效提交。</w:t>
            </w:r>
          </w:p>
          <w:p w14:paraId="0CECED3D">
            <w:pPr>
              <w:keepNext w:val="0"/>
              <w:keepLines w:val="0"/>
              <w:pageBreakBefore w:val="0"/>
              <w:widowControl w:val="0"/>
              <w:numPr>
                <w:ilvl w:val="0"/>
                <w:numId w:val="0"/>
              </w:numPr>
              <w:kinsoku/>
              <w:wordWrap w:val="0"/>
              <w:topLinePunct w:val="0"/>
              <w:autoSpaceDE/>
              <w:autoSpaceDN/>
              <w:bidi w:val="0"/>
              <w:adjustRightInd w:val="0"/>
              <w:snapToGrid w:val="0"/>
              <w:rPr>
                <w:rFonts w:hint="eastAsia" w:ascii="仿宋_GB2312" w:hAnsi="仿宋_GB2312" w:eastAsia="仿宋_GB2312" w:cs="仿宋_GB2312"/>
                <w:b w:val="0"/>
                <w:color w:val="000000"/>
              </w:rPr>
            </w:pPr>
            <w:r>
              <w:rPr>
                <w:rFonts w:hint="eastAsia" w:ascii="仿宋_GB2312" w:hAnsi="仿宋_GB2312" w:eastAsia="仿宋_GB2312" w:cs="仿宋_GB2312"/>
                <w:b/>
                <w:bCs/>
                <w:color w:val="000000"/>
                <w:lang w:val="en-US" w:eastAsia="zh-CN"/>
              </w:rPr>
              <w:t>5.</w:t>
            </w:r>
            <w:r>
              <w:rPr>
                <w:rFonts w:hint="eastAsia" w:ascii="仿宋_GB2312" w:hAnsi="仿宋_GB2312" w:eastAsia="仿宋_GB2312" w:cs="仿宋_GB2312"/>
                <w:b/>
                <w:bCs/>
                <w:color w:val="000000"/>
              </w:rPr>
              <w:t>其他要求：</w:t>
            </w:r>
            <w:r>
              <w:rPr>
                <w:rFonts w:hint="eastAsia" w:ascii="仿宋_GB2312" w:hAnsi="仿宋_GB2312" w:eastAsia="仿宋_GB2312" w:cs="仿宋_GB2312"/>
                <w:b w:val="0"/>
                <w:color w:val="000000"/>
              </w:rPr>
              <w:t>团队需保证作品原创性，无知识产权纠纷；作品需兼顾技术可行性与商业价值，贴合产业实际需求，避免空泛化设计。</w:t>
            </w:r>
          </w:p>
          <w:p w14:paraId="18BF66B8">
            <w:pPr>
              <w:keepNext w:val="0"/>
              <w:keepLines w:val="0"/>
              <w:pageBreakBefore w:val="0"/>
              <w:widowControl w:val="0"/>
              <w:kinsoku/>
              <w:wordWrap w:val="0"/>
              <w:topLinePunct w:val="0"/>
              <w:autoSpaceDE/>
              <w:autoSpaceDN/>
              <w:bidi w:val="0"/>
              <w:adjustRightInd w:val="0"/>
              <w:snapToGrid w:val="0"/>
              <w:ind w:firstLine="480" w:firstLineChars="200"/>
              <w:rPr>
                <w:rFonts w:hint="eastAsia" w:ascii="仿宋_GB2312" w:hAnsi="仿宋_GB2312" w:eastAsia="仿宋_GB2312" w:cs="仿宋_GB2312"/>
                <w:b w:val="0"/>
                <w:color w:val="000000"/>
              </w:rPr>
            </w:pPr>
          </w:p>
        </w:tc>
      </w:tr>
      <w:tr w14:paraId="01864A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50" w:hRule="atLeast"/>
          <w:jc w:val="center"/>
        </w:trPr>
        <w:tc>
          <w:tcPr>
            <w:tcW w:w="16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7B559">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0A0ABBAB">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8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4F0F5">
            <w:pPr>
              <w:keepNext w:val="0"/>
              <w:keepLines w:val="0"/>
              <w:pageBreakBefore w:val="0"/>
              <w:widowControl w:val="0"/>
              <w:numPr>
                <w:ilvl w:val="0"/>
                <w:numId w:val="0"/>
              </w:numPr>
              <w:kinsoku/>
              <w:wordWrap w:val="0"/>
              <w:topLinePunct w:val="0"/>
              <w:autoSpaceDE/>
              <w:autoSpaceDN/>
              <w:bidi w:val="0"/>
              <w:adjustRightInd w:val="0"/>
              <w:snapToGrid w:val="0"/>
              <w:rPr>
                <w:rFonts w:hint="eastAsia"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本次评审实行百分制，量化评分指标如下：</w:t>
            </w:r>
          </w:p>
          <w:p w14:paraId="4555A61D">
            <w:pPr>
              <w:keepNext w:val="0"/>
              <w:keepLines w:val="0"/>
              <w:pageBreakBefore w:val="0"/>
              <w:widowControl w:val="0"/>
              <w:numPr>
                <w:ilvl w:val="0"/>
                <w:numId w:val="9"/>
              </w:numPr>
              <w:kinsoku/>
              <w:wordWrap w:val="0"/>
              <w:topLinePunct w:val="0"/>
              <w:autoSpaceDE/>
              <w:autoSpaceDN/>
              <w:bidi w:val="0"/>
              <w:adjustRightInd w:val="0"/>
              <w:snapToGrid w:val="0"/>
              <w:rPr>
                <w:rFonts w:hint="eastAsia"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技术创新性（30分）</w:t>
            </w:r>
          </w:p>
          <w:p w14:paraId="40FC89E6">
            <w:pPr>
              <w:keepNext w:val="0"/>
              <w:keepLines w:val="0"/>
              <w:pageBreakBefore w:val="0"/>
              <w:widowControl w:val="0"/>
              <w:numPr>
                <w:ilvl w:val="0"/>
                <w:numId w:val="10"/>
              </w:numPr>
              <w:kinsoku/>
              <w:wordWrap w:val="0"/>
              <w:topLinePunct w:val="0"/>
              <w:autoSpaceDE/>
              <w:autoSpaceDN/>
              <w:bidi w:val="0"/>
              <w:adjustRightInd w:val="0"/>
              <w:snapToGrid w:val="0"/>
              <w:ind w:left="840" w:leftChars="0" w:hanging="420" w:firstLineChars="0"/>
              <w:rPr>
                <w:rFonts w:hint="eastAsia"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核心技术具备自主创新性（10分）</w:t>
            </w:r>
          </w:p>
          <w:p w14:paraId="6EBBDF0E">
            <w:pPr>
              <w:keepNext w:val="0"/>
              <w:keepLines w:val="0"/>
              <w:pageBreakBefore w:val="0"/>
              <w:widowControl w:val="0"/>
              <w:numPr>
                <w:ilvl w:val="0"/>
                <w:numId w:val="10"/>
              </w:numPr>
              <w:kinsoku/>
              <w:wordWrap w:val="0"/>
              <w:topLinePunct w:val="0"/>
              <w:autoSpaceDE/>
              <w:autoSpaceDN/>
              <w:bidi w:val="0"/>
              <w:adjustRightInd w:val="0"/>
              <w:snapToGrid w:val="0"/>
              <w:ind w:left="840" w:leftChars="0" w:hanging="420" w:firstLineChars="0"/>
              <w:rPr>
                <w:rFonts w:hint="eastAsia"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具身智能机器人技术应用贴合园区场景，适配性强（10分）</w:t>
            </w:r>
          </w:p>
          <w:p w14:paraId="2450B853">
            <w:pPr>
              <w:keepNext w:val="0"/>
              <w:keepLines w:val="0"/>
              <w:pageBreakBefore w:val="0"/>
              <w:widowControl w:val="0"/>
              <w:numPr>
                <w:ilvl w:val="0"/>
                <w:numId w:val="10"/>
              </w:numPr>
              <w:kinsoku/>
              <w:wordWrap w:val="0"/>
              <w:topLinePunct w:val="0"/>
              <w:autoSpaceDE/>
              <w:autoSpaceDN/>
              <w:bidi w:val="0"/>
              <w:adjustRightInd w:val="0"/>
              <w:snapToGrid w:val="0"/>
              <w:ind w:left="840" w:leftChars="0" w:hanging="420" w:firstLineChars="0"/>
              <w:rPr>
                <w:rFonts w:hint="eastAsia"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技术方案可突破现有行业瓶颈，具备技术领先性（10分）</w:t>
            </w:r>
          </w:p>
          <w:p w14:paraId="57751107">
            <w:pPr>
              <w:keepNext w:val="0"/>
              <w:keepLines w:val="0"/>
              <w:pageBreakBefore w:val="0"/>
              <w:widowControl w:val="0"/>
              <w:numPr>
                <w:ilvl w:val="0"/>
                <w:numId w:val="9"/>
              </w:numPr>
              <w:kinsoku/>
              <w:wordWrap w:val="0"/>
              <w:topLinePunct w:val="0"/>
              <w:autoSpaceDE/>
              <w:autoSpaceDN/>
              <w:bidi w:val="0"/>
              <w:adjustRightInd w:val="0"/>
              <w:snapToGrid w:val="0"/>
              <w:ind w:left="0" w:leftChars="0" w:firstLine="0" w:firstLineChars="0"/>
              <w:rPr>
                <w:rFonts w:hint="eastAsia"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落地可行性（25分）</w:t>
            </w:r>
          </w:p>
          <w:p w14:paraId="53742C7B">
            <w:pPr>
              <w:keepNext w:val="0"/>
              <w:keepLines w:val="0"/>
              <w:pageBreakBefore w:val="0"/>
              <w:widowControl w:val="0"/>
              <w:numPr>
                <w:ilvl w:val="0"/>
                <w:numId w:val="10"/>
              </w:numPr>
              <w:kinsoku/>
              <w:wordWrap w:val="0"/>
              <w:topLinePunct w:val="0"/>
              <w:autoSpaceDE/>
              <w:autoSpaceDN/>
              <w:bidi w:val="0"/>
              <w:adjustRightInd w:val="0"/>
              <w:snapToGrid w:val="0"/>
              <w:ind w:left="840" w:leftChars="0" w:hanging="420" w:firstLineChars="0"/>
              <w:rPr>
                <w:rFonts w:hint="eastAsia"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方案适配园区现有设施，部署成本合理（8分）</w:t>
            </w:r>
          </w:p>
          <w:p w14:paraId="47F0BED1">
            <w:pPr>
              <w:keepNext w:val="0"/>
              <w:keepLines w:val="0"/>
              <w:pageBreakBefore w:val="0"/>
              <w:widowControl w:val="0"/>
              <w:numPr>
                <w:ilvl w:val="0"/>
                <w:numId w:val="10"/>
              </w:numPr>
              <w:kinsoku/>
              <w:wordWrap w:val="0"/>
              <w:topLinePunct w:val="0"/>
              <w:autoSpaceDE/>
              <w:autoSpaceDN/>
              <w:bidi w:val="0"/>
              <w:adjustRightInd w:val="0"/>
              <w:snapToGrid w:val="0"/>
              <w:ind w:left="840" w:leftChars="0" w:hanging="420" w:firstLineChars="0"/>
              <w:rPr>
                <w:rFonts w:hint="eastAsia"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分阶段落地计划清晰，实施难度可控（7分）</w:t>
            </w:r>
          </w:p>
          <w:p w14:paraId="02F67DBD">
            <w:pPr>
              <w:keepNext w:val="0"/>
              <w:keepLines w:val="0"/>
              <w:pageBreakBefore w:val="0"/>
              <w:widowControl w:val="0"/>
              <w:numPr>
                <w:ilvl w:val="0"/>
                <w:numId w:val="10"/>
              </w:numPr>
              <w:kinsoku/>
              <w:wordWrap w:val="0"/>
              <w:topLinePunct w:val="0"/>
              <w:autoSpaceDE/>
              <w:autoSpaceDN/>
              <w:bidi w:val="0"/>
              <w:adjustRightInd w:val="0"/>
              <w:snapToGrid w:val="0"/>
              <w:ind w:left="840" w:leftChars="0" w:hanging="420" w:firstLineChars="0"/>
              <w:rPr>
                <w:rFonts w:hint="eastAsia"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投入产出比测算科学，降本增效预期明确（10分）</w:t>
            </w:r>
          </w:p>
          <w:p w14:paraId="32B6FB43">
            <w:pPr>
              <w:keepNext w:val="0"/>
              <w:keepLines w:val="0"/>
              <w:pageBreakBefore w:val="0"/>
              <w:widowControl w:val="0"/>
              <w:numPr>
                <w:ilvl w:val="0"/>
                <w:numId w:val="9"/>
              </w:numPr>
              <w:kinsoku/>
              <w:wordWrap w:val="0"/>
              <w:topLinePunct w:val="0"/>
              <w:autoSpaceDE/>
              <w:autoSpaceDN/>
              <w:bidi w:val="0"/>
              <w:adjustRightInd w:val="0"/>
              <w:snapToGrid w:val="0"/>
              <w:ind w:left="0" w:leftChars="0" w:firstLine="0" w:firstLineChars="0"/>
              <w:rPr>
                <w:rFonts w:hint="eastAsia"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商业价值（20分）</w:t>
            </w:r>
          </w:p>
          <w:p w14:paraId="12DD6A57">
            <w:pPr>
              <w:keepNext w:val="0"/>
              <w:keepLines w:val="0"/>
              <w:pageBreakBefore w:val="0"/>
              <w:widowControl w:val="0"/>
              <w:numPr>
                <w:ilvl w:val="0"/>
                <w:numId w:val="10"/>
              </w:numPr>
              <w:kinsoku/>
              <w:wordWrap w:val="0"/>
              <w:topLinePunct w:val="0"/>
              <w:autoSpaceDE/>
              <w:autoSpaceDN/>
              <w:bidi w:val="0"/>
              <w:adjustRightInd w:val="0"/>
              <w:snapToGrid w:val="0"/>
              <w:ind w:left="840" w:leftChars="0" w:hanging="420" w:firstLineChars="0"/>
              <w:rPr>
                <w:rFonts w:hint="eastAsia"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商业模式清晰，盈利渠道可行（8分）</w:t>
            </w:r>
          </w:p>
          <w:p w14:paraId="2B8EE3C3">
            <w:pPr>
              <w:keepNext w:val="0"/>
              <w:keepLines w:val="0"/>
              <w:pageBreakBefore w:val="0"/>
              <w:widowControl w:val="0"/>
              <w:numPr>
                <w:ilvl w:val="0"/>
                <w:numId w:val="10"/>
              </w:numPr>
              <w:kinsoku/>
              <w:wordWrap w:val="0"/>
              <w:topLinePunct w:val="0"/>
              <w:autoSpaceDE/>
              <w:autoSpaceDN/>
              <w:bidi w:val="0"/>
              <w:adjustRightInd w:val="0"/>
              <w:snapToGrid w:val="0"/>
              <w:ind w:left="840" w:leftChars="0" w:hanging="420" w:firstLineChars="0"/>
              <w:rPr>
                <w:rFonts w:hint="eastAsia"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市场推广策略合理，具备规模化复制潜力（7分）</w:t>
            </w:r>
          </w:p>
          <w:p w14:paraId="29975C5A">
            <w:pPr>
              <w:keepNext w:val="0"/>
              <w:keepLines w:val="0"/>
              <w:pageBreakBefore w:val="0"/>
              <w:widowControl w:val="0"/>
              <w:numPr>
                <w:ilvl w:val="0"/>
                <w:numId w:val="10"/>
              </w:numPr>
              <w:kinsoku/>
              <w:wordWrap w:val="0"/>
              <w:topLinePunct w:val="0"/>
              <w:autoSpaceDE/>
              <w:autoSpaceDN/>
              <w:bidi w:val="0"/>
              <w:adjustRightInd w:val="0"/>
              <w:snapToGrid w:val="0"/>
              <w:ind w:left="840" w:leftChars="0" w:hanging="420" w:firstLineChars="0"/>
              <w:rPr>
                <w:rFonts w:hint="eastAsia"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对园区及行业发展的商业赋能价值突出（5分）</w:t>
            </w:r>
          </w:p>
          <w:p w14:paraId="79C2044D">
            <w:pPr>
              <w:keepNext w:val="0"/>
              <w:keepLines w:val="0"/>
              <w:pageBreakBefore w:val="0"/>
              <w:widowControl w:val="0"/>
              <w:numPr>
                <w:ilvl w:val="0"/>
                <w:numId w:val="9"/>
              </w:numPr>
              <w:kinsoku/>
              <w:wordWrap w:val="0"/>
              <w:topLinePunct w:val="0"/>
              <w:autoSpaceDE/>
              <w:autoSpaceDN/>
              <w:bidi w:val="0"/>
              <w:adjustRightInd w:val="0"/>
              <w:snapToGrid w:val="0"/>
              <w:ind w:left="0" w:leftChars="0" w:firstLine="0" w:firstLineChars="0"/>
              <w:rPr>
                <w:rFonts w:hint="eastAsia"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方案完整性（15分）</w:t>
            </w:r>
          </w:p>
          <w:p w14:paraId="5F14651B">
            <w:pPr>
              <w:keepNext w:val="0"/>
              <w:keepLines w:val="0"/>
              <w:pageBreakBefore w:val="0"/>
              <w:widowControl w:val="0"/>
              <w:numPr>
                <w:ilvl w:val="0"/>
                <w:numId w:val="10"/>
              </w:numPr>
              <w:kinsoku/>
              <w:wordWrap w:val="0"/>
              <w:topLinePunct w:val="0"/>
              <w:autoSpaceDE/>
              <w:autoSpaceDN/>
              <w:bidi w:val="0"/>
              <w:adjustRightInd w:val="0"/>
              <w:snapToGrid w:val="0"/>
              <w:ind w:left="840" w:leftChars="0" w:hanging="420" w:firstLineChars="0"/>
              <w:rPr>
                <w:rFonts w:hint="eastAsia"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创业计划书结构完整，内容详实，涵盖技术、运营、商业、风险等核心模块（8分）；</w:t>
            </w:r>
          </w:p>
          <w:p w14:paraId="601DABB9">
            <w:pPr>
              <w:keepNext w:val="0"/>
              <w:keepLines w:val="0"/>
              <w:pageBreakBefore w:val="0"/>
              <w:widowControl w:val="0"/>
              <w:numPr>
                <w:ilvl w:val="0"/>
                <w:numId w:val="10"/>
              </w:numPr>
              <w:kinsoku/>
              <w:wordWrap w:val="0"/>
              <w:topLinePunct w:val="0"/>
              <w:autoSpaceDE/>
              <w:autoSpaceDN/>
              <w:bidi w:val="0"/>
              <w:adjustRightInd w:val="0"/>
              <w:snapToGrid w:val="0"/>
              <w:ind w:left="840" w:leftChars="0" w:hanging="420" w:firstLineChars="0"/>
              <w:rPr>
                <w:rFonts w:hint="eastAsia"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演示材料（PPT、视频）逻辑清晰，重点突出（7分）</w:t>
            </w:r>
          </w:p>
          <w:p w14:paraId="557499A5">
            <w:pPr>
              <w:keepNext w:val="0"/>
              <w:keepLines w:val="0"/>
              <w:pageBreakBefore w:val="0"/>
              <w:widowControl w:val="0"/>
              <w:numPr>
                <w:ilvl w:val="0"/>
                <w:numId w:val="9"/>
              </w:numPr>
              <w:kinsoku/>
              <w:wordWrap w:val="0"/>
              <w:topLinePunct w:val="0"/>
              <w:autoSpaceDE/>
              <w:autoSpaceDN/>
              <w:bidi w:val="0"/>
              <w:adjustRightInd w:val="0"/>
              <w:snapToGrid w:val="0"/>
              <w:ind w:left="0" w:leftChars="0" w:firstLine="0" w:firstLineChars="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lang w:val="en-US" w:eastAsia="zh-CN"/>
              </w:rPr>
              <w:t>团队能力（10分）</w:t>
            </w:r>
          </w:p>
          <w:p w14:paraId="2C733435">
            <w:pPr>
              <w:keepNext w:val="0"/>
              <w:keepLines w:val="0"/>
              <w:pageBreakBefore w:val="0"/>
              <w:widowControl w:val="0"/>
              <w:numPr>
                <w:ilvl w:val="0"/>
                <w:numId w:val="10"/>
              </w:numPr>
              <w:kinsoku/>
              <w:wordWrap w:val="0"/>
              <w:topLinePunct w:val="0"/>
              <w:autoSpaceDE/>
              <w:autoSpaceDN/>
              <w:bidi w:val="0"/>
              <w:adjustRightInd w:val="0"/>
              <w:snapToGrid w:val="0"/>
              <w:ind w:left="840" w:leftChars="0" w:hanging="420" w:firstLineChars="0"/>
              <w:rPr>
                <w:rFonts w:hint="eastAsia"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团队配置合理，具备技术、管理、市场等相关专业能力（5分）</w:t>
            </w:r>
          </w:p>
          <w:p w14:paraId="7FC49EDB">
            <w:pPr>
              <w:keepNext w:val="0"/>
              <w:keepLines w:val="0"/>
              <w:pageBreakBefore w:val="0"/>
              <w:widowControl w:val="0"/>
              <w:numPr>
                <w:ilvl w:val="0"/>
                <w:numId w:val="10"/>
              </w:numPr>
              <w:kinsoku/>
              <w:wordWrap w:val="0"/>
              <w:topLinePunct w:val="0"/>
              <w:autoSpaceDE/>
              <w:autoSpaceDN/>
              <w:bidi w:val="0"/>
              <w:adjustRightInd w:val="0"/>
              <w:snapToGrid w:val="0"/>
              <w:ind w:left="840" w:leftChars="0" w:hanging="420" w:firstLineChars="0"/>
              <w:rPr>
                <w:rFonts w:hint="eastAsia"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指导老师资质及支撑力度充足，团队协作能力强（5分）</w:t>
            </w:r>
          </w:p>
          <w:p w14:paraId="508150B9">
            <w:pPr>
              <w:keepNext w:val="0"/>
              <w:keepLines w:val="0"/>
              <w:pageBreakBefore w:val="0"/>
              <w:widowControl w:val="0"/>
              <w:kinsoku/>
              <w:wordWrap w:val="0"/>
              <w:overflowPunct w:val="0"/>
              <w:topLinePunct w:val="0"/>
              <w:autoSpaceDE/>
              <w:autoSpaceDN/>
              <w:bidi w:val="0"/>
              <w:adjustRightInd w:val="0"/>
              <w:snapToGrid w:val="0"/>
              <w:rPr>
                <w:rFonts w:hint="eastAsia" w:ascii="仿宋_GB2312" w:hAnsi="仿宋_GB2312" w:eastAsia="仿宋_GB2312" w:cs="仿宋_GB2312"/>
                <w:b w:val="0"/>
                <w:bCs/>
                <w:color w:val="000000"/>
                <w:spacing w:val="6"/>
                <w:szCs w:val="28"/>
                <w:u w:val="none"/>
              </w:rPr>
            </w:pPr>
          </w:p>
        </w:tc>
      </w:tr>
      <w:tr w14:paraId="151B89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63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89BD502">
            <w:pPr>
              <w:keepNext w:val="0"/>
              <w:keepLines w:val="0"/>
              <w:pageBreakBefore w:val="0"/>
              <w:widowControl w:val="0"/>
              <w:kinsoku/>
              <w:wordWrap w:val="0"/>
              <w:overflowPunct w:val="0"/>
              <w:topLinePunct w:val="0"/>
              <w:autoSpaceDE/>
              <w:autoSpaceDN/>
              <w:bidi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870"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32210C3">
            <w:pPr>
              <w:keepNext w:val="0"/>
              <w:keepLines w:val="0"/>
              <w:pageBreakBefore w:val="0"/>
              <w:widowControl w:val="0"/>
              <w:numPr>
                <w:ilvl w:val="0"/>
                <w:numId w:val="11"/>
              </w:numPr>
              <w:kinsoku/>
              <w:wordWrap w:val="0"/>
              <w:overflowPunct w:val="0"/>
              <w:topLinePunct w:val="0"/>
              <w:autoSpaceDE/>
              <w:autoSpaceDN/>
              <w:bidi w:val="0"/>
              <w:adjustRightInd w:val="0"/>
              <w:snapToGrid w:val="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参赛团队可提前与园区联系人对接，预约实地调研，了解园区现有管理模式、基础设施配置及核心痛点，确保方案贴合实际。</w:t>
            </w:r>
          </w:p>
          <w:p w14:paraId="24135ADB">
            <w:pPr>
              <w:keepNext w:val="0"/>
              <w:keepLines w:val="0"/>
              <w:pageBreakBefore w:val="0"/>
              <w:widowControl w:val="0"/>
              <w:numPr>
                <w:ilvl w:val="0"/>
                <w:numId w:val="11"/>
              </w:numPr>
              <w:kinsoku/>
              <w:wordWrap w:val="0"/>
              <w:overflowPunct w:val="0"/>
              <w:topLinePunct w:val="0"/>
              <w:autoSpaceDE/>
              <w:autoSpaceDN/>
              <w:bidi w:val="0"/>
              <w:adjustRightInd w:val="0"/>
              <w:snapToGrid w:val="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方案需兼顾安全性与实用性，涉及园区安防、数据管理的内容需符合国家网络安全、数据隐私保护相关法律法规。</w:t>
            </w:r>
          </w:p>
          <w:p w14:paraId="6CA8F018">
            <w:pPr>
              <w:keepNext w:val="0"/>
              <w:keepLines w:val="0"/>
              <w:pageBreakBefore w:val="0"/>
              <w:widowControl w:val="0"/>
              <w:numPr>
                <w:ilvl w:val="0"/>
                <w:numId w:val="11"/>
              </w:numPr>
              <w:kinsoku/>
              <w:wordWrap w:val="0"/>
              <w:overflowPunct w:val="0"/>
              <w:topLinePunct w:val="0"/>
              <w:autoSpaceDE/>
              <w:autoSpaceDN/>
              <w:bidi w:val="0"/>
              <w:adjustRightInd w:val="0"/>
              <w:snapToGrid w:val="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获奖团队需配合园区完成方案优化、试点测试等相关工作，优先参与园区智能化升级实践。</w:t>
            </w:r>
          </w:p>
          <w:p w14:paraId="6C53DA69">
            <w:pPr>
              <w:keepNext w:val="0"/>
              <w:keepLines w:val="0"/>
              <w:pageBreakBefore w:val="0"/>
              <w:widowControl w:val="0"/>
              <w:numPr>
                <w:ilvl w:val="0"/>
                <w:numId w:val="11"/>
              </w:numPr>
              <w:kinsoku/>
              <w:wordWrap w:val="0"/>
              <w:overflowPunct w:val="0"/>
              <w:topLinePunct w:val="0"/>
              <w:autoSpaceDE/>
              <w:autoSpaceDN/>
              <w:bidi w:val="0"/>
              <w:adjustRightInd w:val="0"/>
              <w:snapToGrid w:val="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u w:val="none"/>
                <w:lang w:val="en-US" w:eastAsia="zh-CN"/>
              </w:rPr>
              <w:t>若作品涉及专利技术，需提供相关专利证明材料，作为评审加分依据。</w:t>
            </w:r>
          </w:p>
        </w:tc>
      </w:tr>
    </w:tbl>
    <w:p w14:paraId="53B96B16">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250782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C011EE5">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DDF581E">
            <w:pPr>
              <w:keepNext w:val="0"/>
              <w:keepLines w:val="0"/>
              <w:pageBreakBefore w:val="0"/>
              <w:widowControl w:val="0"/>
              <w:numPr>
                <w:ilvl w:val="0"/>
                <w:numId w:val="12"/>
              </w:numPr>
              <w:kinsoku/>
              <w:wordWrap w:val="0"/>
              <w:topLinePunct w:val="0"/>
              <w:autoSpaceDE/>
              <w:autoSpaceDN/>
              <w:bidi w:val="0"/>
              <w:adjustRightInd w:val="0"/>
              <w:snapToGrid w:val="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参观应用场景：会安排专人陪同讲解，协助团队对接园区痛点。</w:t>
            </w:r>
          </w:p>
          <w:p w14:paraId="24AC8872">
            <w:pPr>
              <w:keepNext w:val="0"/>
              <w:keepLines w:val="0"/>
              <w:pageBreakBefore w:val="0"/>
              <w:widowControl w:val="0"/>
              <w:numPr>
                <w:ilvl w:val="0"/>
                <w:numId w:val="12"/>
              </w:numPr>
              <w:kinsoku/>
              <w:wordWrap w:val="0"/>
              <w:topLinePunct w:val="0"/>
              <w:autoSpaceDE/>
              <w:autoSpaceDN/>
              <w:bidi w:val="0"/>
              <w:adjustRightInd w:val="0"/>
              <w:snapToGrid w:val="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落地测试保障：对获奖团队方案，提供园区试点测试场地，协助团队完成方案调试、效果验证。</w:t>
            </w:r>
          </w:p>
        </w:tc>
      </w:tr>
      <w:tr w14:paraId="53183C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87E6C85">
            <w:pPr>
              <w:keepNext w:val="0"/>
              <w:keepLines w:val="0"/>
              <w:pageBreakBefore w:val="0"/>
              <w:widowControl w:val="0"/>
              <w:kinsoku/>
              <w:wordWrap w:val="0"/>
              <w:topLinePunct w:val="0"/>
              <w:autoSpaceDE/>
              <w:autoSpaceDN/>
              <w:bidi w:val="0"/>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AE95E1E">
            <w:pPr>
              <w:keepNext w:val="0"/>
              <w:keepLines w:val="0"/>
              <w:pageBreakBefore w:val="0"/>
              <w:widowControl w:val="0"/>
              <w:suppressLineNumbers w:val="0"/>
              <w:kinsoku/>
              <w:wordWrap w:val="0"/>
              <w:topLinePunct w:val="0"/>
              <w:autoSpaceDE/>
              <w:autoSpaceDN/>
              <w:bidi w:val="0"/>
              <w:ind w:firstLine="756" w:firstLineChars="300"/>
              <w:jc w:val="left"/>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一、奖项设置</w:t>
            </w:r>
          </w:p>
          <w:p w14:paraId="77F32AB9">
            <w:pPr>
              <w:keepNext w:val="0"/>
              <w:keepLines w:val="0"/>
              <w:pageBreakBefore w:val="0"/>
              <w:widowControl w:val="0"/>
              <w:suppressLineNumbers w:val="0"/>
              <w:kinsoku/>
              <w:wordWrap w:val="0"/>
              <w:topLinePunct w:val="0"/>
              <w:autoSpaceDE/>
              <w:autoSpaceDN/>
              <w:bidi w:val="0"/>
              <w:ind w:firstLine="756" w:firstLineChars="300"/>
              <w:jc w:val="left"/>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原则上设“擂主”团队1个，根据实际情况评出相应的特等奖、一等奖、二等奖、三等奖项目若干。在特等奖团队中遴选1个“擂主”团队，开展后续创业实践合作。</w:t>
            </w:r>
          </w:p>
          <w:p w14:paraId="0DF3A113">
            <w:pPr>
              <w:keepNext w:val="0"/>
              <w:keepLines w:val="0"/>
              <w:pageBreakBefore w:val="0"/>
              <w:widowControl w:val="0"/>
              <w:suppressLineNumbers w:val="0"/>
              <w:kinsoku/>
              <w:wordWrap w:val="0"/>
              <w:topLinePunct w:val="0"/>
              <w:autoSpaceDE/>
              <w:autoSpaceDN/>
              <w:bidi w:val="0"/>
              <w:ind w:firstLine="756" w:firstLineChars="300"/>
              <w:jc w:val="left"/>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二、奖励措施</w:t>
            </w:r>
          </w:p>
          <w:p w14:paraId="03E50437">
            <w:pPr>
              <w:keepNext w:val="0"/>
              <w:keepLines w:val="0"/>
              <w:pageBreakBefore w:val="0"/>
              <w:widowControl w:val="0"/>
              <w:suppressLineNumbers w:val="0"/>
              <w:kinsoku/>
              <w:wordWrap w:val="0"/>
              <w:topLinePunct w:val="0"/>
              <w:autoSpaceDE/>
              <w:autoSpaceDN/>
              <w:bidi w:val="0"/>
              <w:ind w:firstLine="756" w:firstLineChars="300"/>
              <w:jc w:val="left"/>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1.奖金奖励：</w:t>
            </w:r>
          </w:p>
          <w:p w14:paraId="71E30191">
            <w:pPr>
              <w:keepNext w:val="0"/>
              <w:keepLines w:val="0"/>
              <w:pageBreakBefore w:val="0"/>
              <w:widowControl w:val="0"/>
              <w:suppressLineNumbers w:val="0"/>
              <w:kinsoku/>
              <w:wordWrap w:val="0"/>
              <w:topLinePunct w:val="0"/>
              <w:autoSpaceDE/>
              <w:autoSpaceDN/>
              <w:bidi w:val="0"/>
              <w:ind w:firstLine="756" w:firstLineChars="300"/>
              <w:jc w:val="left"/>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本榜题将结合实际获奖情况给予适度奖金奖励。</w:t>
            </w:r>
          </w:p>
          <w:p w14:paraId="354D444E">
            <w:pPr>
              <w:keepNext w:val="0"/>
              <w:keepLines w:val="0"/>
              <w:pageBreakBefore w:val="0"/>
              <w:widowControl w:val="0"/>
              <w:suppressLineNumbers w:val="0"/>
              <w:kinsoku/>
              <w:wordWrap w:val="0"/>
              <w:topLinePunct w:val="0"/>
              <w:autoSpaceDE/>
              <w:autoSpaceDN/>
              <w:bidi w:val="0"/>
              <w:ind w:firstLine="756" w:firstLineChars="300"/>
              <w:jc w:val="left"/>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2.成果孵化保障：</w:t>
            </w:r>
          </w:p>
          <w:p w14:paraId="1B5EF4A4">
            <w:pPr>
              <w:keepNext w:val="0"/>
              <w:keepLines w:val="0"/>
              <w:pageBreakBefore w:val="0"/>
              <w:widowControl w:val="0"/>
              <w:suppressLineNumbers w:val="0"/>
              <w:kinsoku/>
              <w:wordWrap w:val="0"/>
              <w:topLinePunct w:val="0"/>
              <w:autoSpaceDE/>
              <w:autoSpaceDN/>
              <w:bidi w:val="0"/>
              <w:ind w:firstLine="756" w:firstLineChars="300"/>
              <w:jc w:val="left"/>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擂主团队与园区签订创业实践合作协议，启动方案落地转化相关工作，同步兑现擂主专属奖励。擂主专属奖励：可获得办公空间最高2年200平米的租金减免，以及政务服务和金融服务的绿色通道。</w:t>
            </w:r>
          </w:p>
        </w:tc>
      </w:tr>
    </w:tbl>
    <w:p w14:paraId="7FD9C9C4">
      <w:pPr>
        <w:keepNext w:val="0"/>
        <w:keepLines w:val="0"/>
        <w:pageBreakBefore w:val="0"/>
        <w:widowControl/>
        <w:tabs>
          <w:tab w:val="left" w:pos="8640"/>
        </w:tabs>
        <w:kinsoku/>
        <w:wordWrap/>
        <w:overflowPunct/>
        <w:topLinePunct w:val="0"/>
        <w:autoSpaceDE/>
        <w:autoSpaceDN/>
        <w:bidi w:val="0"/>
        <w:adjustRightInd w:val="0"/>
        <w:snapToGrid w:val="0"/>
        <w:spacing w:line="560" w:lineRule="exact"/>
        <w:ind w:firstLine="664" w:firstLineChars="200"/>
        <w:textAlignment w:val="auto"/>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27048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2B9FB8DF">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F113B">
            <w:pPr>
              <w:adjustRightInd w:val="0"/>
              <w:snapToGrid w:val="0"/>
              <w:ind w:firstLine="504" w:firstLineChars="200"/>
              <w:jc w:val="both"/>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lang w:val="en-US" w:eastAsia="zh-CN"/>
              </w:rPr>
              <w:t>本选题聚焦具身智能机器人技术在园区管理场景的落地应用，针对性解决当前园区智能化管理中“技术与场景脱节、多系统数据孤立、智能决策能力不足”的行业瓶颈，对推动具身智能技术场景化落地具有重要示范价值。方案通过AI算法与园区安防、中控、服务全场景的深度集成，可突破现有智能化方案“被动响应”的技术局限，提升AI技术在复杂场景中的自主决策、主动预警能力，为同类产业园区智能化升级提供可复制的技术路径。同时，选题立足产学研协同，可推动高校人工智能、机器人相关领域的技术研发与成果转化，助力攻克智能硬件集成、多源数据融合等细分领域技术难题，弥补园区智能化管理领域的技术短板，推动具身智能产业与园区运营产业的深度融合发展。</w:t>
            </w:r>
          </w:p>
        </w:tc>
      </w:tr>
      <w:tr w14:paraId="046215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0A994">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46CBD">
            <w:pPr>
              <w:numPr>
                <w:ilvl w:val="0"/>
                <w:numId w:val="13"/>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经济效益：方案落地后，可大幅降低园区人工管理成本，预计减少安防、中控及服务岗位人工投入30%-50%，每年为单家园区节省人力成本80-120万元；通过智能预警、精准服务提升园区运营效率，缩短问题处置周期60%以上，降低消防、设备故障等带来的经济损失；同时，智能化升级可提升园区招商竞争力，预计带动入驻企业数量增长20%以上，间接推动区域经</w:t>
            </w:r>
            <w:bookmarkStart w:id="4" w:name="_GoBack"/>
            <w:r>
              <w:rPr>
                <w:rFonts w:hint="eastAsia" w:ascii="仿宋_GB2312" w:hAnsi="仿宋_GB2312" w:eastAsia="仿宋_GB2312" w:cs="仿宋_GB2312"/>
                <w:b w:val="0"/>
                <w:bCs/>
                <w:color w:val="000000"/>
                <w:spacing w:val="6"/>
                <w:szCs w:val="28"/>
                <w:lang w:val="en-US" w:eastAsia="zh-CN"/>
              </w:rPr>
              <w:t>济发展；方案规模化推广后，可催生智能硬件部署、技术运维等相关就业岗位，带动上下游产业发展。</w:t>
            </w:r>
          </w:p>
          <w:p w14:paraId="3D865A86">
            <w:pPr>
              <w:numPr>
                <w:ilvl w:val="0"/>
                <w:numId w:val="13"/>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社会效益：通过智能化安防管理，提升园区安全管控水平，减少安全隐患，保障入驻企业及人员的人身、财产安全，营造安全、有序的园区环境；精准化的园区服务可助力中小企业降低运营</w:t>
            </w:r>
            <w:bookmarkEnd w:id="4"/>
            <w:r>
              <w:rPr>
                <w:rFonts w:hint="eastAsia" w:ascii="仿宋_GB2312" w:hAnsi="仿宋_GB2312" w:eastAsia="仿宋_GB2312" w:cs="仿宋_GB2312"/>
                <w:b w:val="0"/>
                <w:bCs/>
                <w:color w:val="000000"/>
                <w:spacing w:val="6"/>
                <w:szCs w:val="28"/>
                <w:lang w:val="en-US" w:eastAsia="zh-CN"/>
              </w:rPr>
              <w:t>成本、提升发展质量，培育更多创新创业主体，激发区域双创活力；方案践行“科技赋能产业”的发展理念，推动数字经济与实体经济深度融合，助力北京市“四个中心”建设及丰台区科技创新强区建设；同时，可为全国产业园区智能化升级提供示范样本，推动产业园区高质量发展，助力新型城镇化建设。</w:t>
            </w:r>
          </w:p>
          <w:p w14:paraId="37885339">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p>
        </w:tc>
      </w:tr>
    </w:tbl>
    <w:p w14:paraId="4ED79C62">
      <w:pPr>
        <w:keepNext w:val="0"/>
        <w:keepLines w:val="0"/>
        <w:pageBreakBefore w:val="0"/>
        <w:widowControl w:val="0"/>
        <w:kinsoku/>
        <w:wordWrap w:val="0"/>
        <w:overflowPunct/>
        <w:topLinePunct w:val="0"/>
        <w:autoSpaceDE/>
        <w:autoSpaceDN/>
        <w:bidi w:val="0"/>
        <w:adjustRightInd/>
        <w:snapToGrid/>
        <w:spacing w:line="240" w:lineRule="auto"/>
        <w:ind w:firstLine="480"/>
        <w:jc w:val="both"/>
        <w:textAlignment w:val="auto"/>
        <w:rPr>
          <w:rFonts w:hint="eastAsia" w:ascii="楷体_GB2312" w:hAnsi="楷体_GB2312" w:eastAsia="楷体_GB2312" w:cs="楷体_GB2312"/>
          <w:color w:val="auto"/>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658CD52-22CD-4B63-86C1-2DDFB4C5CE4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2" w:fontKey="{86CE8695-5EB0-40AB-B38C-C19E9A119D9A}"/>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DD1EBF21-2680-4054-991D-F1C5DB3DC9C3}"/>
  </w:font>
  <w:font w:name="等线">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4" w:fontKey="{89539A7D-A4E1-4532-82D8-16D07738CE83}"/>
  </w:font>
  <w:font w:name="方正黑体简体">
    <w:panose1 w:val="03000509000000000000"/>
    <w:charset w:val="86"/>
    <w:family w:val="auto"/>
    <w:pitch w:val="default"/>
    <w:sig w:usb0="00000001" w:usb1="080E0000" w:usb2="00000000" w:usb3="00000000" w:csb0="00040000" w:csb1="00000000"/>
    <w:embedRegular r:id="rId5" w:fontKey="{E2FB97E5-A8F8-48A8-92FD-AB912EB25338}"/>
  </w:font>
  <w:font w:name="楷体_GB2312">
    <w:panose1 w:val="02010609030101010101"/>
    <w:charset w:val="86"/>
    <w:family w:val="auto"/>
    <w:pitch w:val="default"/>
    <w:sig w:usb0="00000001" w:usb1="080E0000" w:usb2="00000000" w:usb3="00000000" w:csb0="00040000" w:csb1="00000000"/>
    <w:embedRegular r:id="rId6" w:fontKey="{6505A860-8591-4A41-AB2E-6A32D09ABEDD}"/>
  </w:font>
  <w:font w:name="方正楷体简体">
    <w:panose1 w:val="03000509000000000000"/>
    <w:charset w:val="86"/>
    <w:family w:val="auto"/>
    <w:pitch w:val="default"/>
    <w:sig w:usb0="00000001" w:usb1="080E0000" w:usb2="00000000" w:usb3="00000000" w:csb0="00040000" w:csb1="00000000"/>
    <w:embedRegular r:id="rId7" w:fontKey="{C7984341-234F-4C94-83D2-0159DAEDF0A2}"/>
  </w:font>
  <w:font w:name="方正仿宋简体">
    <w:panose1 w:val="02000000000000000000"/>
    <w:charset w:val="86"/>
    <w:family w:val="auto"/>
    <w:pitch w:val="default"/>
    <w:sig w:usb0="A00002BF" w:usb1="184F6CFA" w:usb2="00000012" w:usb3="00000000" w:csb0="00040001" w:csb1="00000000"/>
    <w:embedRegular r:id="rId8" w:fontKey="{3D42DC3C-0DF5-4937-B857-EEC6785162FB}"/>
  </w:font>
  <w:font w:name="仿宋">
    <w:panose1 w:val="02010609060101010101"/>
    <w:charset w:val="86"/>
    <w:family w:val="modern"/>
    <w:pitch w:val="default"/>
    <w:sig w:usb0="800002BF" w:usb1="38CF7CFA" w:usb2="00000016" w:usb3="00000000" w:csb0="00040001" w:csb1="00000000"/>
    <w:embedRegular r:id="rId9" w:fontKey="{5C9ABDD7-CFA7-403F-A772-4E6C318E6A86}"/>
  </w:font>
  <w:font w:name="国标楷体">
    <w:altName w:val="楷体_GB2312"/>
    <w:panose1 w:val="02000500000000000000"/>
    <w:charset w:val="86"/>
    <w:family w:val="auto"/>
    <w:pitch w:val="default"/>
    <w:sig w:usb0="00000000" w:usb1="00000000" w:usb2="00000000" w:usb3="00000000" w:csb0="00060007" w:csb1="00000000"/>
    <w:embedRegular r:id="rId10" w:fontKey="{835DFC07-CBE7-485C-BFDB-4DEC69878C4D}"/>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5651566"/>
    </w:sdtPr>
    <w:sdtContent>
      <w:p w14:paraId="0ADBD3B7">
        <w:pPr>
          <w:pStyle w:val="6"/>
          <w:jc w:val="center"/>
        </w:pPr>
        <w:r>
          <w:fldChar w:fldCharType="begin"/>
        </w:r>
        <w:r>
          <w:instrText xml:space="preserve">PAGE   \* MERGEFORMAT</w:instrText>
        </w:r>
        <w:r>
          <w:fldChar w:fldCharType="separate"/>
        </w:r>
        <w:r>
          <w:rPr>
            <w:lang w:val="zh-CN"/>
          </w:rPr>
          <w:t>4</w:t>
        </w:r>
        <w:r>
          <w:fldChar w:fldCharType="end"/>
        </w:r>
      </w:p>
    </w:sdtContent>
  </w:sdt>
  <w:p w14:paraId="293E7E17">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64px;height:64px" o:bullet="t">
        <v:imagedata r:id="rId1" o:title=""/>
      </v:shape>
    </w:pict>
  </w:numPicBullet>
  <w:abstractNum w:abstractNumId="0">
    <w:nsid w:val="8FFFFF75"/>
    <w:multiLevelType w:val="singleLevel"/>
    <w:tmpl w:val="8FFFFF75"/>
    <w:lvl w:ilvl="0" w:tentative="0">
      <w:start w:val="1"/>
      <w:numFmt w:val="decimal"/>
      <w:lvlText w:val="%1."/>
      <w:lvlJc w:val="left"/>
      <w:pPr>
        <w:tabs>
          <w:tab w:val="left" w:pos="312"/>
        </w:tabs>
      </w:pPr>
    </w:lvl>
  </w:abstractNum>
  <w:abstractNum w:abstractNumId="1">
    <w:nsid w:val="A26DDAED"/>
    <w:multiLevelType w:val="singleLevel"/>
    <w:tmpl w:val="A26DDAED"/>
    <w:lvl w:ilvl="0" w:tentative="0">
      <w:start w:val="1"/>
      <w:numFmt w:val="decimal"/>
      <w:suff w:val="nothing"/>
      <w:lvlText w:val="%1、"/>
      <w:lvlJc w:val="left"/>
    </w:lvl>
  </w:abstractNum>
  <w:abstractNum w:abstractNumId="2">
    <w:nsid w:val="C380552B"/>
    <w:multiLevelType w:val="singleLevel"/>
    <w:tmpl w:val="C380552B"/>
    <w:lvl w:ilvl="0" w:tentative="0">
      <w:start w:val="1"/>
      <w:numFmt w:val="decimal"/>
      <w:suff w:val="nothing"/>
      <w:lvlText w:val="%1、"/>
      <w:lvlJc w:val="left"/>
      <w:rPr>
        <w:rFonts w:hint="default"/>
        <w:b w:val="0"/>
        <w:bCs w:val="0"/>
      </w:rPr>
    </w:lvl>
  </w:abstractNum>
  <w:abstractNum w:abstractNumId="3">
    <w:nsid w:val="C7B9295F"/>
    <w:multiLevelType w:val="singleLevel"/>
    <w:tmpl w:val="C7B9295F"/>
    <w:lvl w:ilvl="0" w:tentative="0">
      <w:start w:val="1"/>
      <w:numFmt w:val="decimal"/>
      <w:lvlText w:val="%1."/>
      <w:lvlJc w:val="left"/>
      <w:pPr>
        <w:tabs>
          <w:tab w:val="left" w:pos="312"/>
        </w:tabs>
      </w:pPr>
    </w:lvl>
  </w:abstractNum>
  <w:abstractNum w:abstractNumId="4">
    <w:nsid w:val="132CD7AC"/>
    <w:multiLevelType w:val="singleLevel"/>
    <w:tmpl w:val="132CD7AC"/>
    <w:lvl w:ilvl="0" w:tentative="0">
      <w:start w:val="1"/>
      <w:numFmt w:val="decimal"/>
      <w:lvlText w:val="%1."/>
      <w:lvlJc w:val="left"/>
      <w:pPr>
        <w:tabs>
          <w:tab w:val="left" w:pos="312"/>
        </w:tabs>
      </w:pPr>
    </w:lvl>
  </w:abstractNum>
  <w:abstractNum w:abstractNumId="5">
    <w:nsid w:val="233B6AEA"/>
    <w:multiLevelType w:val="singleLevel"/>
    <w:tmpl w:val="233B6AEA"/>
    <w:lvl w:ilvl="0" w:tentative="0">
      <w:start w:val="1"/>
      <w:numFmt w:val="decimal"/>
      <w:suff w:val="nothing"/>
      <w:lvlText w:val="%1、"/>
      <w:lvlJc w:val="left"/>
    </w:lvl>
  </w:abstractNum>
  <w:abstractNum w:abstractNumId="6">
    <w:nsid w:val="3367355D"/>
    <w:multiLevelType w:val="singleLevel"/>
    <w:tmpl w:val="3367355D"/>
    <w:lvl w:ilvl="0" w:tentative="0">
      <w:start w:val="1"/>
      <w:numFmt w:val="decimal"/>
      <w:suff w:val="nothing"/>
      <w:lvlText w:val="%1、"/>
      <w:lvlJc w:val="left"/>
    </w:lvl>
  </w:abstractNum>
  <w:abstractNum w:abstractNumId="7">
    <w:nsid w:val="69854517"/>
    <w:multiLevelType w:val="singleLevel"/>
    <w:tmpl w:val="69854517"/>
    <w:lvl w:ilvl="0" w:tentative="0">
      <w:start w:val="1"/>
      <w:numFmt w:val="decimal"/>
      <w:suff w:val="space"/>
      <w:lvlText w:val="%1."/>
      <w:lvlJc w:val="left"/>
    </w:lvl>
  </w:abstractNum>
  <w:abstractNum w:abstractNumId="8">
    <w:nsid w:val="6985454F"/>
    <w:multiLevelType w:val="singleLevel"/>
    <w:tmpl w:val="6985454F"/>
    <w:lvl w:ilvl="0" w:tentative="0">
      <w:start w:val="1"/>
      <w:numFmt w:val="decimal"/>
      <w:suff w:val="space"/>
      <w:lvlText w:val="%1."/>
      <w:lvlJc w:val="left"/>
    </w:lvl>
  </w:abstractNum>
  <w:abstractNum w:abstractNumId="9">
    <w:nsid w:val="6F1D6360"/>
    <w:multiLevelType w:val="singleLevel"/>
    <w:tmpl w:val="6F1D6360"/>
    <w:lvl w:ilvl="0" w:tentative="0">
      <w:start w:val="1"/>
      <w:numFmt w:val="bullet"/>
      <w:suff w:val="nothing"/>
      <w:lvlText w:val=""/>
      <w:lvlPicBulletId w:val="0"/>
      <w:lvlJc w:val="left"/>
      <w:pPr>
        <w:ind w:left="840" w:leftChars="0" w:hanging="420" w:firstLineChars="0"/>
      </w:pPr>
      <w:rPr>
        <w:rFonts w:hint="default" w:ascii="Wingdings" w:hAnsi="Wingdings" w:cs="Wingdings"/>
        <w:sz w:val="16"/>
      </w:rPr>
    </w:lvl>
  </w:abstractNum>
  <w:abstractNum w:abstractNumId="10">
    <w:nsid w:val="75AF7307"/>
    <w:multiLevelType w:val="singleLevel"/>
    <w:tmpl w:val="75AF7307"/>
    <w:lvl w:ilvl="0" w:tentative="0">
      <w:start w:val="1"/>
      <w:numFmt w:val="decimal"/>
      <w:lvlText w:val="%1."/>
      <w:lvlJc w:val="left"/>
      <w:pPr>
        <w:tabs>
          <w:tab w:val="left" w:pos="312"/>
        </w:tabs>
      </w:pPr>
    </w:lvl>
  </w:abstractNum>
  <w:abstractNum w:abstractNumId="11">
    <w:nsid w:val="7B5E92B4"/>
    <w:multiLevelType w:val="singleLevel"/>
    <w:tmpl w:val="7B5E92B4"/>
    <w:lvl w:ilvl="0" w:tentative="0">
      <w:start w:val="1"/>
      <w:numFmt w:val="decimal"/>
      <w:suff w:val="space"/>
      <w:lvlText w:val="%1."/>
      <w:lvlJc w:val="left"/>
    </w:lvl>
  </w:abstractNum>
  <w:abstractNum w:abstractNumId="12">
    <w:nsid w:val="7FEFA688"/>
    <w:multiLevelType w:val="singleLevel"/>
    <w:tmpl w:val="7FEFA688"/>
    <w:lvl w:ilvl="0" w:tentative="0">
      <w:start w:val="1"/>
      <w:numFmt w:val="decimal"/>
      <w:suff w:val="space"/>
      <w:lvlText w:val="%1."/>
      <w:lvlJc w:val="left"/>
    </w:lvl>
  </w:abstractNum>
  <w:num w:numId="1">
    <w:abstractNumId w:val="5"/>
  </w:num>
  <w:num w:numId="2">
    <w:abstractNumId w:val="7"/>
  </w:num>
  <w:num w:numId="3">
    <w:abstractNumId w:val="8"/>
  </w:num>
  <w:num w:numId="4">
    <w:abstractNumId w:val="11"/>
  </w:num>
  <w:num w:numId="5">
    <w:abstractNumId w:val="4"/>
  </w:num>
  <w:num w:numId="6">
    <w:abstractNumId w:val="12"/>
  </w:num>
  <w:num w:numId="7">
    <w:abstractNumId w:val="0"/>
  </w:num>
  <w:num w:numId="8">
    <w:abstractNumId w:val="2"/>
  </w:num>
  <w:num w:numId="9">
    <w:abstractNumId w:val="3"/>
  </w:num>
  <w:num w:numId="10">
    <w:abstractNumId w:val="9"/>
  </w:num>
  <w:num w:numId="11">
    <w:abstractNumId w:val="1"/>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8769EE"/>
    <w:rsid w:val="000024AF"/>
    <w:rsid w:val="00005D1C"/>
    <w:rsid w:val="00016504"/>
    <w:rsid w:val="00021C1D"/>
    <w:rsid w:val="000420F1"/>
    <w:rsid w:val="00057714"/>
    <w:rsid w:val="000579E3"/>
    <w:rsid w:val="000626B0"/>
    <w:rsid w:val="00075C5A"/>
    <w:rsid w:val="000A6775"/>
    <w:rsid w:val="000B59FE"/>
    <w:rsid w:val="000D5792"/>
    <w:rsid w:val="000D57EF"/>
    <w:rsid w:val="000D5CE7"/>
    <w:rsid w:val="0010322A"/>
    <w:rsid w:val="0011069F"/>
    <w:rsid w:val="00115043"/>
    <w:rsid w:val="00120156"/>
    <w:rsid w:val="001360CE"/>
    <w:rsid w:val="001367A9"/>
    <w:rsid w:val="00142352"/>
    <w:rsid w:val="00143054"/>
    <w:rsid w:val="001579F2"/>
    <w:rsid w:val="00164C26"/>
    <w:rsid w:val="0016564C"/>
    <w:rsid w:val="00172BF5"/>
    <w:rsid w:val="00175648"/>
    <w:rsid w:val="001A0246"/>
    <w:rsid w:val="001A6D11"/>
    <w:rsid w:val="001B0D74"/>
    <w:rsid w:val="001B2C6C"/>
    <w:rsid w:val="001C0DFA"/>
    <w:rsid w:val="001D0729"/>
    <w:rsid w:val="001D4806"/>
    <w:rsid w:val="001E741B"/>
    <w:rsid w:val="001E760D"/>
    <w:rsid w:val="001E77C2"/>
    <w:rsid w:val="001F5AC3"/>
    <w:rsid w:val="001F6CC8"/>
    <w:rsid w:val="0020086A"/>
    <w:rsid w:val="00217A97"/>
    <w:rsid w:val="0022027A"/>
    <w:rsid w:val="00236E3E"/>
    <w:rsid w:val="0026569C"/>
    <w:rsid w:val="00277A57"/>
    <w:rsid w:val="00281AE9"/>
    <w:rsid w:val="00283877"/>
    <w:rsid w:val="002923C5"/>
    <w:rsid w:val="002938E3"/>
    <w:rsid w:val="002B0D40"/>
    <w:rsid w:val="002D1753"/>
    <w:rsid w:val="002D6FA5"/>
    <w:rsid w:val="002E7BFD"/>
    <w:rsid w:val="002F7D9C"/>
    <w:rsid w:val="00341051"/>
    <w:rsid w:val="00343B96"/>
    <w:rsid w:val="00354FAF"/>
    <w:rsid w:val="00363E2D"/>
    <w:rsid w:val="003701CF"/>
    <w:rsid w:val="00371816"/>
    <w:rsid w:val="003845ED"/>
    <w:rsid w:val="00392185"/>
    <w:rsid w:val="0039481F"/>
    <w:rsid w:val="003A2D89"/>
    <w:rsid w:val="003B6C68"/>
    <w:rsid w:val="003E007F"/>
    <w:rsid w:val="00455A1D"/>
    <w:rsid w:val="00463782"/>
    <w:rsid w:val="00476A7D"/>
    <w:rsid w:val="004876C3"/>
    <w:rsid w:val="00494F44"/>
    <w:rsid w:val="00496D3E"/>
    <w:rsid w:val="004A0A91"/>
    <w:rsid w:val="004A4E02"/>
    <w:rsid w:val="004B00B4"/>
    <w:rsid w:val="004B01E5"/>
    <w:rsid w:val="004D0FC5"/>
    <w:rsid w:val="004D7510"/>
    <w:rsid w:val="004E551C"/>
    <w:rsid w:val="004F3DC9"/>
    <w:rsid w:val="00521EB2"/>
    <w:rsid w:val="005269C8"/>
    <w:rsid w:val="00532B4E"/>
    <w:rsid w:val="005333BA"/>
    <w:rsid w:val="0053363C"/>
    <w:rsid w:val="00550A20"/>
    <w:rsid w:val="00564E32"/>
    <w:rsid w:val="005753FB"/>
    <w:rsid w:val="00577641"/>
    <w:rsid w:val="00580524"/>
    <w:rsid w:val="00585CAC"/>
    <w:rsid w:val="005944CA"/>
    <w:rsid w:val="005A1DB0"/>
    <w:rsid w:val="005C1A80"/>
    <w:rsid w:val="005C1AAC"/>
    <w:rsid w:val="005C6ACD"/>
    <w:rsid w:val="005D33E1"/>
    <w:rsid w:val="005D5D40"/>
    <w:rsid w:val="00603AF5"/>
    <w:rsid w:val="00606DA8"/>
    <w:rsid w:val="00613169"/>
    <w:rsid w:val="00613AAA"/>
    <w:rsid w:val="006226BA"/>
    <w:rsid w:val="00624B5C"/>
    <w:rsid w:val="00633F6B"/>
    <w:rsid w:val="00636F96"/>
    <w:rsid w:val="00646247"/>
    <w:rsid w:val="0066226D"/>
    <w:rsid w:val="00662D41"/>
    <w:rsid w:val="00663468"/>
    <w:rsid w:val="00693B33"/>
    <w:rsid w:val="00696378"/>
    <w:rsid w:val="006A3A6E"/>
    <w:rsid w:val="006A51DF"/>
    <w:rsid w:val="006C3959"/>
    <w:rsid w:val="006C732F"/>
    <w:rsid w:val="006D5E75"/>
    <w:rsid w:val="006E6DDA"/>
    <w:rsid w:val="006F10F0"/>
    <w:rsid w:val="00704B08"/>
    <w:rsid w:val="007168CF"/>
    <w:rsid w:val="007216F0"/>
    <w:rsid w:val="00724EAF"/>
    <w:rsid w:val="0073249A"/>
    <w:rsid w:val="00746651"/>
    <w:rsid w:val="0074676F"/>
    <w:rsid w:val="0075096A"/>
    <w:rsid w:val="00751811"/>
    <w:rsid w:val="00753ECA"/>
    <w:rsid w:val="007711FB"/>
    <w:rsid w:val="00777C79"/>
    <w:rsid w:val="00792BCA"/>
    <w:rsid w:val="007934F8"/>
    <w:rsid w:val="00801614"/>
    <w:rsid w:val="00805D49"/>
    <w:rsid w:val="00816F55"/>
    <w:rsid w:val="00825DE6"/>
    <w:rsid w:val="00825FD8"/>
    <w:rsid w:val="008313DD"/>
    <w:rsid w:val="008321B0"/>
    <w:rsid w:val="00846294"/>
    <w:rsid w:val="0085042E"/>
    <w:rsid w:val="00851D22"/>
    <w:rsid w:val="0086052B"/>
    <w:rsid w:val="00860FD3"/>
    <w:rsid w:val="008669B5"/>
    <w:rsid w:val="00867EEA"/>
    <w:rsid w:val="00872C0C"/>
    <w:rsid w:val="008738D4"/>
    <w:rsid w:val="008769EE"/>
    <w:rsid w:val="0088143A"/>
    <w:rsid w:val="008836AC"/>
    <w:rsid w:val="00887D7E"/>
    <w:rsid w:val="0089086B"/>
    <w:rsid w:val="008A16EE"/>
    <w:rsid w:val="008B748E"/>
    <w:rsid w:val="008C4B94"/>
    <w:rsid w:val="008D1E8D"/>
    <w:rsid w:val="008E3EE3"/>
    <w:rsid w:val="008F2FB1"/>
    <w:rsid w:val="00912ADC"/>
    <w:rsid w:val="00917F07"/>
    <w:rsid w:val="00923192"/>
    <w:rsid w:val="00931DCA"/>
    <w:rsid w:val="00932E54"/>
    <w:rsid w:val="0093518D"/>
    <w:rsid w:val="00937CB6"/>
    <w:rsid w:val="00953BA4"/>
    <w:rsid w:val="00954857"/>
    <w:rsid w:val="009632E8"/>
    <w:rsid w:val="00966187"/>
    <w:rsid w:val="009722F8"/>
    <w:rsid w:val="00984CEA"/>
    <w:rsid w:val="00987542"/>
    <w:rsid w:val="00995541"/>
    <w:rsid w:val="009E7C56"/>
    <w:rsid w:val="00A02213"/>
    <w:rsid w:val="00A0235C"/>
    <w:rsid w:val="00A21117"/>
    <w:rsid w:val="00A22759"/>
    <w:rsid w:val="00A2670B"/>
    <w:rsid w:val="00A30D68"/>
    <w:rsid w:val="00A4232F"/>
    <w:rsid w:val="00A43480"/>
    <w:rsid w:val="00A46FCF"/>
    <w:rsid w:val="00A601D5"/>
    <w:rsid w:val="00A75F29"/>
    <w:rsid w:val="00AA7BD8"/>
    <w:rsid w:val="00AB1BF4"/>
    <w:rsid w:val="00AB47FD"/>
    <w:rsid w:val="00AC7734"/>
    <w:rsid w:val="00AD24CF"/>
    <w:rsid w:val="00AD6CFA"/>
    <w:rsid w:val="00AE66B7"/>
    <w:rsid w:val="00B37F1A"/>
    <w:rsid w:val="00B40CAF"/>
    <w:rsid w:val="00B46BCA"/>
    <w:rsid w:val="00B52CCC"/>
    <w:rsid w:val="00B66E73"/>
    <w:rsid w:val="00B67EB8"/>
    <w:rsid w:val="00B7486E"/>
    <w:rsid w:val="00B96E4E"/>
    <w:rsid w:val="00BA70BA"/>
    <w:rsid w:val="00BA7D67"/>
    <w:rsid w:val="00BD0A75"/>
    <w:rsid w:val="00BE634B"/>
    <w:rsid w:val="00BF4E2D"/>
    <w:rsid w:val="00C217F1"/>
    <w:rsid w:val="00C24C93"/>
    <w:rsid w:val="00C57018"/>
    <w:rsid w:val="00C60328"/>
    <w:rsid w:val="00C678B8"/>
    <w:rsid w:val="00C720F3"/>
    <w:rsid w:val="00C82B11"/>
    <w:rsid w:val="00C94172"/>
    <w:rsid w:val="00C97BA0"/>
    <w:rsid w:val="00CA19F5"/>
    <w:rsid w:val="00CB5FAC"/>
    <w:rsid w:val="00CB6FC8"/>
    <w:rsid w:val="00CC608E"/>
    <w:rsid w:val="00CD6EE9"/>
    <w:rsid w:val="00D05DE3"/>
    <w:rsid w:val="00D23696"/>
    <w:rsid w:val="00D41F2A"/>
    <w:rsid w:val="00D474E2"/>
    <w:rsid w:val="00D47E2B"/>
    <w:rsid w:val="00D531BB"/>
    <w:rsid w:val="00D55D40"/>
    <w:rsid w:val="00D71164"/>
    <w:rsid w:val="00D8092B"/>
    <w:rsid w:val="00D826F5"/>
    <w:rsid w:val="00D920B0"/>
    <w:rsid w:val="00DB02D9"/>
    <w:rsid w:val="00DB05D8"/>
    <w:rsid w:val="00DB59F1"/>
    <w:rsid w:val="00DD4992"/>
    <w:rsid w:val="00DE5602"/>
    <w:rsid w:val="00DF09AA"/>
    <w:rsid w:val="00DF64DF"/>
    <w:rsid w:val="00DF78E0"/>
    <w:rsid w:val="00E01DD4"/>
    <w:rsid w:val="00E02303"/>
    <w:rsid w:val="00E1302F"/>
    <w:rsid w:val="00E13134"/>
    <w:rsid w:val="00E30024"/>
    <w:rsid w:val="00E46C70"/>
    <w:rsid w:val="00E47733"/>
    <w:rsid w:val="00E5011B"/>
    <w:rsid w:val="00E524CD"/>
    <w:rsid w:val="00E65FC6"/>
    <w:rsid w:val="00E7048E"/>
    <w:rsid w:val="00E72C07"/>
    <w:rsid w:val="00EA0B44"/>
    <w:rsid w:val="00EB1E9B"/>
    <w:rsid w:val="00EB2BDB"/>
    <w:rsid w:val="00EB4B20"/>
    <w:rsid w:val="00EB66C3"/>
    <w:rsid w:val="00EC44BC"/>
    <w:rsid w:val="00ED65A9"/>
    <w:rsid w:val="00ED683E"/>
    <w:rsid w:val="00EF3C50"/>
    <w:rsid w:val="00EF5210"/>
    <w:rsid w:val="00F10C18"/>
    <w:rsid w:val="00F256C4"/>
    <w:rsid w:val="00F26931"/>
    <w:rsid w:val="00F57CAE"/>
    <w:rsid w:val="00F669A4"/>
    <w:rsid w:val="00F713C4"/>
    <w:rsid w:val="00F73E78"/>
    <w:rsid w:val="00F74A1C"/>
    <w:rsid w:val="00F75202"/>
    <w:rsid w:val="00F855BA"/>
    <w:rsid w:val="00F86CD9"/>
    <w:rsid w:val="00F910DA"/>
    <w:rsid w:val="00FB4A99"/>
    <w:rsid w:val="00FC2914"/>
    <w:rsid w:val="00FF5C3F"/>
    <w:rsid w:val="011D4668"/>
    <w:rsid w:val="016E3F78"/>
    <w:rsid w:val="03051BFA"/>
    <w:rsid w:val="03420242"/>
    <w:rsid w:val="03803D68"/>
    <w:rsid w:val="039E6195"/>
    <w:rsid w:val="040E5D41"/>
    <w:rsid w:val="04816A57"/>
    <w:rsid w:val="051528EC"/>
    <w:rsid w:val="058A3D4B"/>
    <w:rsid w:val="05C978FD"/>
    <w:rsid w:val="0671705A"/>
    <w:rsid w:val="06732134"/>
    <w:rsid w:val="07463F1D"/>
    <w:rsid w:val="076E3AD0"/>
    <w:rsid w:val="078F2493"/>
    <w:rsid w:val="07AA0EFE"/>
    <w:rsid w:val="098C12D0"/>
    <w:rsid w:val="0A166F75"/>
    <w:rsid w:val="0A8F7AAE"/>
    <w:rsid w:val="0A941009"/>
    <w:rsid w:val="0B4A5469"/>
    <w:rsid w:val="0B6B3F04"/>
    <w:rsid w:val="0B6F69F0"/>
    <w:rsid w:val="0BA4215C"/>
    <w:rsid w:val="0C2028F2"/>
    <w:rsid w:val="0C645CC6"/>
    <w:rsid w:val="0C955B7E"/>
    <w:rsid w:val="0DCF4D92"/>
    <w:rsid w:val="0F78357E"/>
    <w:rsid w:val="10466E61"/>
    <w:rsid w:val="105F7F23"/>
    <w:rsid w:val="107F47F9"/>
    <w:rsid w:val="10DB3A4D"/>
    <w:rsid w:val="1142103B"/>
    <w:rsid w:val="1202325C"/>
    <w:rsid w:val="12E36BE9"/>
    <w:rsid w:val="13CA2B4E"/>
    <w:rsid w:val="155344FA"/>
    <w:rsid w:val="156A62C2"/>
    <w:rsid w:val="15D942D4"/>
    <w:rsid w:val="178B7A91"/>
    <w:rsid w:val="17C80133"/>
    <w:rsid w:val="1A1667EC"/>
    <w:rsid w:val="1A5C26E5"/>
    <w:rsid w:val="1AD27C6F"/>
    <w:rsid w:val="1BD43F79"/>
    <w:rsid w:val="1C9B22E3"/>
    <w:rsid w:val="1CA10259"/>
    <w:rsid w:val="1D6B43AB"/>
    <w:rsid w:val="1D8D4321"/>
    <w:rsid w:val="1E504BF2"/>
    <w:rsid w:val="1EC04283"/>
    <w:rsid w:val="1F316F2E"/>
    <w:rsid w:val="1F762BAF"/>
    <w:rsid w:val="1F94358D"/>
    <w:rsid w:val="21EB5ABA"/>
    <w:rsid w:val="22463DDE"/>
    <w:rsid w:val="23991047"/>
    <w:rsid w:val="23B107E7"/>
    <w:rsid w:val="23B940CE"/>
    <w:rsid w:val="242F1397"/>
    <w:rsid w:val="24B65F0C"/>
    <w:rsid w:val="25AE50B1"/>
    <w:rsid w:val="2604714B"/>
    <w:rsid w:val="265439DF"/>
    <w:rsid w:val="26680B0E"/>
    <w:rsid w:val="26AD369D"/>
    <w:rsid w:val="276607BD"/>
    <w:rsid w:val="27B06F2F"/>
    <w:rsid w:val="291E4D83"/>
    <w:rsid w:val="2958118C"/>
    <w:rsid w:val="2A610CF2"/>
    <w:rsid w:val="2A6941D6"/>
    <w:rsid w:val="2A85768A"/>
    <w:rsid w:val="2B824CF1"/>
    <w:rsid w:val="2BC2788C"/>
    <w:rsid w:val="2BEC0D80"/>
    <w:rsid w:val="2BFF9A86"/>
    <w:rsid w:val="2D21147E"/>
    <w:rsid w:val="2D5072C9"/>
    <w:rsid w:val="2D810F9C"/>
    <w:rsid w:val="2E3507E9"/>
    <w:rsid w:val="2ED43E1F"/>
    <w:rsid w:val="2EF07231"/>
    <w:rsid w:val="2EF61F5F"/>
    <w:rsid w:val="2F204D2F"/>
    <w:rsid w:val="30280776"/>
    <w:rsid w:val="30976DA2"/>
    <w:rsid w:val="30D8752B"/>
    <w:rsid w:val="30EE4C7F"/>
    <w:rsid w:val="315C2906"/>
    <w:rsid w:val="33020A40"/>
    <w:rsid w:val="347270AC"/>
    <w:rsid w:val="359C73A0"/>
    <w:rsid w:val="36160F00"/>
    <w:rsid w:val="37F03DAB"/>
    <w:rsid w:val="381972A8"/>
    <w:rsid w:val="38EA4CEF"/>
    <w:rsid w:val="397B56DC"/>
    <w:rsid w:val="39CE1AF2"/>
    <w:rsid w:val="39E74FFE"/>
    <w:rsid w:val="3A5A5133"/>
    <w:rsid w:val="3B860319"/>
    <w:rsid w:val="3BC02155"/>
    <w:rsid w:val="3BF7E6BF"/>
    <w:rsid w:val="3C4538F8"/>
    <w:rsid w:val="3CD975B2"/>
    <w:rsid w:val="3CF373CD"/>
    <w:rsid w:val="3D1D0DC6"/>
    <w:rsid w:val="3D7D1865"/>
    <w:rsid w:val="3DA60DBB"/>
    <w:rsid w:val="3E5D2197"/>
    <w:rsid w:val="3ED27DBD"/>
    <w:rsid w:val="3EF92944"/>
    <w:rsid w:val="3FF555A5"/>
    <w:rsid w:val="40504E9C"/>
    <w:rsid w:val="41655E8F"/>
    <w:rsid w:val="4185378C"/>
    <w:rsid w:val="42A2391B"/>
    <w:rsid w:val="433C7CB5"/>
    <w:rsid w:val="434929F0"/>
    <w:rsid w:val="45136CE0"/>
    <w:rsid w:val="45182C52"/>
    <w:rsid w:val="45765175"/>
    <w:rsid w:val="45A06791"/>
    <w:rsid w:val="46503C2F"/>
    <w:rsid w:val="46EC14FA"/>
    <w:rsid w:val="478D21F9"/>
    <w:rsid w:val="49ED0155"/>
    <w:rsid w:val="4B9A22C6"/>
    <w:rsid w:val="4C951481"/>
    <w:rsid w:val="4D47054C"/>
    <w:rsid w:val="4F742470"/>
    <w:rsid w:val="4FDF2564"/>
    <w:rsid w:val="504346B5"/>
    <w:rsid w:val="50571C9F"/>
    <w:rsid w:val="50AB003F"/>
    <w:rsid w:val="51B357F2"/>
    <w:rsid w:val="52353A0A"/>
    <w:rsid w:val="52E8557B"/>
    <w:rsid w:val="53F24B50"/>
    <w:rsid w:val="548C1160"/>
    <w:rsid w:val="54917CA5"/>
    <w:rsid w:val="549A0AF6"/>
    <w:rsid w:val="560E14B9"/>
    <w:rsid w:val="57ED39D6"/>
    <w:rsid w:val="58426B47"/>
    <w:rsid w:val="59643501"/>
    <w:rsid w:val="597D2244"/>
    <w:rsid w:val="5A0D30B4"/>
    <w:rsid w:val="5AA30DE7"/>
    <w:rsid w:val="5B3429A4"/>
    <w:rsid w:val="5C146507"/>
    <w:rsid w:val="5C4F3F3D"/>
    <w:rsid w:val="5C9D087A"/>
    <w:rsid w:val="5D35760E"/>
    <w:rsid w:val="5D5840D6"/>
    <w:rsid w:val="5F0A5047"/>
    <w:rsid w:val="5FFF9BF2"/>
    <w:rsid w:val="619135C2"/>
    <w:rsid w:val="62073330"/>
    <w:rsid w:val="62286FA5"/>
    <w:rsid w:val="62D04AAA"/>
    <w:rsid w:val="630E4B89"/>
    <w:rsid w:val="64126E1E"/>
    <w:rsid w:val="64DD2B4B"/>
    <w:rsid w:val="6510172B"/>
    <w:rsid w:val="65F77B57"/>
    <w:rsid w:val="65FF3AA9"/>
    <w:rsid w:val="660F3D1F"/>
    <w:rsid w:val="66152ACA"/>
    <w:rsid w:val="67114E28"/>
    <w:rsid w:val="68B44D24"/>
    <w:rsid w:val="69F97043"/>
    <w:rsid w:val="6BDF6CC4"/>
    <w:rsid w:val="6FF670D1"/>
    <w:rsid w:val="707F70C6"/>
    <w:rsid w:val="70905002"/>
    <w:rsid w:val="70BB7C71"/>
    <w:rsid w:val="71B400B8"/>
    <w:rsid w:val="72EF1566"/>
    <w:rsid w:val="73412F53"/>
    <w:rsid w:val="742A7349"/>
    <w:rsid w:val="748443E4"/>
    <w:rsid w:val="74AF6F6B"/>
    <w:rsid w:val="74F952E5"/>
    <w:rsid w:val="75483F2B"/>
    <w:rsid w:val="75564B33"/>
    <w:rsid w:val="75A628C9"/>
    <w:rsid w:val="75B36462"/>
    <w:rsid w:val="76B27622"/>
    <w:rsid w:val="780A371A"/>
    <w:rsid w:val="784521A0"/>
    <w:rsid w:val="788D1579"/>
    <w:rsid w:val="78E90790"/>
    <w:rsid w:val="78F27591"/>
    <w:rsid w:val="791A00AF"/>
    <w:rsid w:val="7A0A3A7E"/>
    <w:rsid w:val="7A6F2A3A"/>
    <w:rsid w:val="7A770E0E"/>
    <w:rsid w:val="7BBB15F0"/>
    <w:rsid w:val="7C07A0F5"/>
    <w:rsid w:val="7C8A45E3"/>
    <w:rsid w:val="7D460711"/>
    <w:rsid w:val="7D717185"/>
    <w:rsid w:val="7D7635FF"/>
    <w:rsid w:val="7D806E06"/>
    <w:rsid w:val="7E172803"/>
    <w:rsid w:val="7E423935"/>
    <w:rsid w:val="7E9E66E6"/>
    <w:rsid w:val="7F207CC7"/>
    <w:rsid w:val="7F524030"/>
    <w:rsid w:val="7F75223E"/>
    <w:rsid w:val="9FFFD10C"/>
    <w:rsid w:val="ADB3EDF9"/>
    <w:rsid w:val="B59DAF38"/>
    <w:rsid w:val="BFBAAF01"/>
    <w:rsid w:val="CF3C9CD7"/>
    <w:rsid w:val="D6FDEFC2"/>
    <w:rsid w:val="DFDE7D33"/>
    <w:rsid w:val="F77E9B79"/>
    <w:rsid w:val="FA252CAC"/>
    <w:rsid w:val="FD7EF2D2"/>
    <w:rsid w:val="FDF5A77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GB"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semiHidden/>
    <w:unhideWhenUsed/>
    <w:qFormat/>
    <w:uiPriority w:val="99"/>
    <w:pPr>
      <w:spacing w:afterLines="0" w:afterAutospacing="0" w:line="560" w:lineRule="exact"/>
    </w:pPr>
    <w:rPr>
      <w:rFonts w:ascii="仿宋_GB2312" w:hAnsi="仿宋_GB2312" w:eastAsia="仿宋_GB2312" w:cs="Times New Roman"/>
    </w:rPr>
  </w:style>
  <w:style w:type="paragraph" w:styleId="4">
    <w:name w:val="Body Text Indent"/>
    <w:basedOn w:val="1"/>
    <w:next w:val="1"/>
    <w:semiHidden/>
    <w:unhideWhenUsed/>
    <w:qFormat/>
    <w:uiPriority w:val="99"/>
    <w:pPr>
      <w:spacing w:after="120"/>
      <w:ind w:left="420" w:leftChars="200"/>
    </w:pPr>
  </w:style>
  <w:style w:type="paragraph" w:styleId="5">
    <w:name w:val="Balloon Text"/>
    <w:basedOn w:val="1"/>
    <w:link w:val="30"/>
    <w:semiHidden/>
    <w:unhideWhenUsed/>
    <w:qFormat/>
    <w:uiPriority w:val="99"/>
    <w:pPr>
      <w:adjustRightInd w:val="0"/>
      <w:snapToGrid w:val="0"/>
      <w:jc w:val="both"/>
    </w:pPr>
    <w:rPr>
      <w:rFonts w:ascii="Times New Roman" w:hAnsi="Times New Roman" w:eastAsia="Times New Roman" w:cs="Times New Roman"/>
      <w:sz w:val="18"/>
      <w:szCs w:val="18"/>
    </w:rPr>
  </w:style>
  <w:style w:type="paragraph" w:styleId="6">
    <w:name w:val="footer"/>
    <w:basedOn w:val="1"/>
    <w:link w:val="29"/>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val="en-US"/>
    </w:rPr>
  </w:style>
  <w:style w:type="paragraph" w:styleId="7">
    <w:name w:val="header"/>
    <w:basedOn w:val="1"/>
    <w:link w:val="28"/>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lang w:val="en-US"/>
    </w:rPr>
  </w:style>
  <w:style w:type="paragraph" w:styleId="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nhideWhenUsed/>
    <w:qFormat/>
    <w:uiPriority w:val="99"/>
    <w:pPr>
      <w:spacing w:before="100" w:beforeAutospacing="1" w:after="100" w:afterAutospacing="1"/>
    </w:pPr>
    <w:rPr>
      <w:rFonts w:ascii="宋体" w:hAnsi="宋体" w:eastAsia="宋体" w:cs="宋体"/>
    </w:rPr>
  </w:style>
  <w:style w:type="paragraph" w:styleId="10">
    <w:name w:val="Body Text First Indent 2"/>
    <w:basedOn w:val="4"/>
    <w:next w:val="1"/>
    <w:semiHidden/>
    <w:unhideWhenUsed/>
    <w:qFormat/>
    <w:uiPriority w:val="99"/>
    <w:pPr>
      <w:ind w:firstLine="420" w:firstLineChars="200"/>
    </w:pPr>
  </w:style>
  <w:style w:type="character" w:styleId="13">
    <w:name w:val="Strong"/>
    <w:qFormat/>
    <w:uiPriority w:val="0"/>
    <w:rPr>
      <w:b/>
      <w:bCs/>
    </w:rPr>
  </w:style>
  <w:style w:type="character" w:styleId="14">
    <w:name w:val="FollowedHyperlink"/>
    <w:basedOn w:val="12"/>
    <w:semiHidden/>
    <w:unhideWhenUsed/>
    <w:qFormat/>
    <w:uiPriority w:val="99"/>
    <w:rPr>
      <w:color w:val="954F72" w:themeColor="followedHyperlink"/>
      <w:u w:val="single"/>
      <w14:textFill>
        <w14:solidFill>
          <w14:schemeClr w14:val="folHlink"/>
        </w14:solidFill>
      </w14:textFill>
    </w:rPr>
  </w:style>
  <w:style w:type="character" w:styleId="15">
    <w:name w:val="Emphasis"/>
    <w:basedOn w:val="12"/>
    <w:qFormat/>
    <w:uiPriority w:val="20"/>
    <w:rPr>
      <w:i/>
      <w:iCs/>
    </w:rPr>
  </w:style>
  <w:style w:type="character" w:styleId="16">
    <w:name w:val="Hyperlink"/>
    <w:basedOn w:val="12"/>
    <w:unhideWhenUsed/>
    <w:qFormat/>
    <w:uiPriority w:val="99"/>
    <w:rPr>
      <w:color w:val="0563C1" w:themeColor="hyperlink"/>
      <w:u w:val="single"/>
      <w14:textFill>
        <w14:solidFill>
          <w14:schemeClr w14:val="hlink"/>
        </w14:solidFill>
      </w14:textFill>
    </w:rPr>
  </w:style>
  <w:style w:type="paragraph" w:customStyle="1" w:styleId="17">
    <w:name w:val="目录 11"/>
    <w:next w:val="1"/>
    <w:qFormat/>
    <w:uiPriority w:val="0"/>
    <w:pPr>
      <w:wordWrap w:val="0"/>
      <w:jc w:val="both"/>
    </w:pPr>
    <w:rPr>
      <w:rFonts w:ascii="Calibri" w:hAnsi="Calibri" w:eastAsia="宋体" w:cs="Times New Roman"/>
      <w:sz w:val="21"/>
      <w:szCs w:val="22"/>
      <w:lang w:val="en-US" w:eastAsia="zh-CN" w:bidi="ar-SA"/>
    </w:rPr>
  </w:style>
  <w:style w:type="paragraph" w:customStyle="1" w:styleId="18">
    <w:name w:val="toc 11"/>
    <w:next w:val="1"/>
    <w:qFormat/>
    <w:uiPriority w:val="0"/>
    <w:pPr>
      <w:wordWrap w:val="0"/>
      <w:jc w:val="both"/>
    </w:pPr>
    <w:rPr>
      <w:rFonts w:ascii="Times New Roman" w:hAnsi="Times New Roman" w:eastAsia="宋体" w:cs="Times New Roman"/>
      <w:sz w:val="21"/>
      <w:szCs w:val="22"/>
      <w:lang w:val="en-US" w:eastAsia="zh-CN" w:bidi="ar-SA"/>
    </w:rPr>
  </w:style>
  <w:style w:type="character" w:customStyle="1" w:styleId="19">
    <w:name w:val="页眉 字符"/>
    <w:basedOn w:val="12"/>
    <w:link w:val="7"/>
    <w:qFormat/>
    <w:uiPriority w:val="99"/>
    <w:rPr>
      <w:sz w:val="18"/>
      <w:szCs w:val="18"/>
    </w:rPr>
  </w:style>
  <w:style w:type="character" w:customStyle="1" w:styleId="20">
    <w:name w:val="页脚 字符"/>
    <w:basedOn w:val="12"/>
    <w:link w:val="6"/>
    <w:qFormat/>
    <w:uiPriority w:val="99"/>
    <w:rPr>
      <w:sz w:val="18"/>
      <w:szCs w:val="18"/>
    </w:rPr>
  </w:style>
  <w:style w:type="character" w:customStyle="1" w:styleId="21">
    <w:name w:val="未处理的提及1"/>
    <w:basedOn w:val="12"/>
    <w:semiHidden/>
    <w:unhideWhenUsed/>
    <w:qFormat/>
    <w:uiPriority w:val="99"/>
    <w:rPr>
      <w:color w:val="605E5C"/>
      <w:shd w:val="clear" w:color="auto" w:fill="E1DFDD"/>
    </w:rPr>
  </w:style>
  <w:style w:type="paragraph" w:styleId="22">
    <w:name w:val="List Paragraph"/>
    <w:basedOn w:val="1"/>
    <w:qFormat/>
    <w:uiPriority w:val="34"/>
    <w:pPr>
      <w:ind w:firstLine="420" w:firstLineChars="200"/>
    </w:pPr>
  </w:style>
  <w:style w:type="character" w:customStyle="1" w:styleId="23">
    <w:name w:val="未处理的提及2"/>
    <w:basedOn w:val="12"/>
    <w:semiHidden/>
    <w:unhideWhenUsed/>
    <w:qFormat/>
    <w:uiPriority w:val="99"/>
    <w:rPr>
      <w:color w:val="605E5C"/>
      <w:shd w:val="clear" w:color="auto" w:fill="E1DFDD"/>
    </w:rPr>
  </w:style>
  <w:style w:type="character" w:customStyle="1" w:styleId="24">
    <w:name w:val="Unresolved Mention"/>
    <w:basedOn w:val="12"/>
    <w:semiHidden/>
    <w:unhideWhenUsed/>
    <w:qFormat/>
    <w:uiPriority w:val="99"/>
    <w:rPr>
      <w:color w:val="605E5C"/>
      <w:shd w:val="clear" w:color="auto" w:fill="E1DFDD"/>
    </w:rPr>
  </w:style>
  <w:style w:type="character" w:customStyle="1" w:styleId="25">
    <w:name w:val="未处理的提及3"/>
    <w:basedOn w:val="12"/>
    <w:autoRedefine/>
    <w:semiHidden/>
    <w:unhideWhenUsed/>
    <w:qFormat/>
    <w:uiPriority w:val="99"/>
    <w:rPr>
      <w:rFonts w:ascii="Times New Roman" w:hAnsi="Times New Roman" w:eastAsia="宋体" w:cs="Times New Roman"/>
      <w:color w:val="605E5C"/>
      <w:shd w:val="clear" w:color="auto" w:fill="E1DFDD"/>
    </w:rPr>
  </w:style>
  <w:style w:type="character" w:customStyle="1" w:styleId="26">
    <w:name w:val="qk-md-text"/>
    <w:basedOn w:val="12"/>
    <w:qFormat/>
    <w:uiPriority w:val="0"/>
    <w:rPr>
      <w:rFonts w:ascii="Times New Roman" w:hAnsi="Times New Roman" w:eastAsia="宋体" w:cs="Times New Roman"/>
    </w:rPr>
  </w:style>
  <w:style w:type="character" w:customStyle="1" w:styleId="27">
    <w:name w:val="apple-converted-space"/>
    <w:basedOn w:val="12"/>
    <w:qFormat/>
    <w:uiPriority w:val="0"/>
    <w:rPr>
      <w:rFonts w:ascii="Times New Roman" w:hAnsi="Times New Roman" w:eastAsia="宋体" w:cs="Times New Roman"/>
    </w:rPr>
  </w:style>
  <w:style w:type="character" w:customStyle="1" w:styleId="28">
    <w:name w:val="页眉 Char"/>
    <w:basedOn w:val="12"/>
    <w:link w:val="7"/>
    <w:autoRedefine/>
    <w:qFormat/>
    <w:uiPriority w:val="99"/>
    <w:rPr>
      <w:rFonts w:ascii="Times New Roman" w:hAnsi="Times New Roman" w:eastAsia="宋体" w:cs="Times New Roman"/>
      <w:sz w:val="18"/>
      <w:szCs w:val="18"/>
    </w:rPr>
  </w:style>
  <w:style w:type="character" w:customStyle="1" w:styleId="29">
    <w:name w:val="页脚 Char"/>
    <w:basedOn w:val="12"/>
    <w:link w:val="6"/>
    <w:autoRedefine/>
    <w:qFormat/>
    <w:uiPriority w:val="99"/>
    <w:rPr>
      <w:rFonts w:ascii="Times New Roman" w:hAnsi="Times New Roman" w:eastAsia="宋体" w:cs="Times New Roman"/>
      <w:sz w:val="18"/>
      <w:szCs w:val="18"/>
    </w:rPr>
  </w:style>
  <w:style w:type="character" w:customStyle="1" w:styleId="30">
    <w:name w:val="批注框文本 Char"/>
    <w:basedOn w:val="12"/>
    <w:link w:val="5"/>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4daf79e0-2bb2-4a49-a299-bde0ebcdcd6a</errorID>
      <errorWord>解</errorWord>
      <group>L1_Grammar</group>
      <groupName>语法问题</groupName>
      <ability>L2_Order</ability>
      <abilityName>语序不当</abilityName>
      <candidateList>
        <item>智慧化解</item>
      </candidateList>
      <explain>句子可能没有遵循时空、逻辑顺序，或者介词、关联词等位置不当。</explain>
      <paraID>62255B71</paraID>
      <start>32</start>
      <end>33</end>
      <status>unmodified</status>
      <modifiedWord/>
      <trackRevisions>false</trackRevisions>
    </reviewItem>
    <reviewItem>
      <errorID>b3992b22-14f3-4aec-bf9b-450c5e6d070d</errorID>
      <errorWord>自然资源委员</errorWord>
      <group>L1_Grammar</group>
      <groupName>语法问题</groupName>
      <ability>L2_Order</ability>
      <abilityName>语序不当</abilityName>
      <candidateList>
        <item>自然资源</item>
      </candidateList>
      <explain>句子可能没有遵循时空、逻辑顺序，或者介词、关联词等位置不当。</explain>
      <paraID>647418A7</paraID>
      <start>6</start>
      <end>12</end>
      <status>unmodified</status>
      <modifiedWord/>
      <trackRevisions>false</trackRevisions>
    </reviewItem>
    <reviewItem>
      <errorID>7e47ecbc-24aa-4cbf-9162-5f6de8b6da3d</errorID>
      <errorWord>包</errorWord>
      <group>L1_Grammar</group>
      <groupName>语法问题</groupName>
      <ability>L2_Collocation</ability>
      <abilityName>搭配不当</abilityName>
      <candidateList>
        <item>是包</item>
      </candidateList>
      <explain>句子中可能存在主谓、动宾、定语中心语、状语中心语、补语中心语、关联词搭配不当等问题。</explain>
      <paraID>3AA60370</paraID>
      <start>144</start>
      <end>145</end>
      <status>unmodified</status>
      <modifiedWord/>
      <trackRevisions>false</trackRevisions>
    </reviewItem>
    <reviewItem>
      <errorID>2f592bc9-3be4-4f73-9084-ce92393242a1</errorID>
      <errorWord>中国优秀传统文化</errorWord>
      <group>L1_Word</group>
      <groupName>字词问题</groupName>
      <ability>L2_Typo</ability>
      <abilityName>字词错误</abilityName>
      <candidateList>
        <item>中华优秀传统文化</item>
      </candidateList>
      <explain/>
      <paraID>3AA60370</paraID>
      <start>175</start>
      <end>183</end>
      <status>unmodified</status>
      <modifiedWord/>
      <trackRevisions>false</trackRevisions>
    </reviewItem>
    <reviewItem>
      <errorID>4ffe352e-96d1-46b5-b1bf-62218f2bb207</errorID>
      <errorWord>均需</errorWord>
      <group>L1_Word</group>
      <groupName>字词问题</groupName>
      <ability>L2_Typo</ability>
      <abilityName>字词错误</abilityName>
      <candidateList>
        <item>均</item>
      </candidateList>
      <explain/>
      <paraID>3F9EF120</paraID>
      <start>4</start>
      <end>6</end>
      <status>unmodified</status>
      <modifiedWord/>
      <trackRevisions>false</trackRevisions>
    </reviewItem>
    <reviewItem>
      <errorID>31663fac-f473-49fb-bae4-de3dcdafdafd</errorID>
      <errorWord>。</errorWord>
      <group>L1_Grammar</group>
      <groupName>语法问题</groupName>
      <ability>L2_Order</ability>
      <abilityName>语序不当</abilityName>
      <candidateList>
        <item>需求。</item>
      </candidateList>
      <explain>句子可能没有遵循时空、逻辑顺序，或者介词、关联词等位置不当。</explain>
      <paraID> 9CFC7CB</paraID>
      <start>84</start>
      <end>85</end>
      <status>unmodified</status>
      <modifiedWord/>
      <trackRevisions>false</trackRevisions>
    </reviewItem>
    <reviewItem>
      <errorID>9e8856aa-7b41-416c-b773-cedf9594cc07</errorID>
      <errorWord>需具备</errorWord>
      <group>L1_Word</group>
      <groupName>字词问题</groupName>
      <ability>L2_Typo</ability>
      <abilityName>字词错误</abilityName>
      <candidateList>
        <item>须具备</item>
      </candidateList>
      <explain/>
      <paraID>5C7CFF40</paraID>
      <start>45</start>
      <end>48</end>
      <status>unmodified</status>
      <modifiedWord/>
      <trackRevisions>false</trackRevisions>
    </reviewItem>
    <reviewItem>
      <errorID>b15d5e9f-b718-42e8-9da6-8fba9791f095</errorID>
      <errorWord>，</errorWord>
      <group>L1_Format</group>
      <groupName>格式问题</groupName>
      <ability>L2_HalfPunc</ability>
      <abilityName>全半角检查</abilityName>
      <candidateList>
        <item>,</item>
      </candidateList>
      <explain>文本全半角错误。</explain>
      <paraID>3F736332</paraID>
      <start>8</start>
      <end>9</end>
      <status>modified</status>
      <modifiedWord>,</modifiedWord>
      <trackRevisions>false</trackRevisions>
    </reviewItem>
    <reviewItem>
      <errorID>4f22b918-e819-4348-b3f5-b391fb82e8c5</errorID>
      <errorWord>市委市政府</errorWord>
      <group>L1_Word</group>
      <groupName>字词问题</groupName>
      <ability>L2_Typo</ability>
      <abilityName>字词错误</abilityName>
      <candidateList>
        <item>市委、市政府</item>
      </candidateList>
      <explain/>
      <paraID>41BBCEB6</paraID>
      <start>107</start>
      <end>112</end>
      <status>unmodified</status>
      <modifiedWord/>
      <trackRevisions>false</trackRevisions>
    </reviewItem>
    <reviewItem>
      <errorID>652b602f-d082-471c-8f94-c780a9c12fea</errorID>
      <errorWord>亟需</errorWord>
      <group>L1_Word</group>
      <groupName>字词问题</groupName>
      <ability>L2_Typo</ability>
      <abilityName>字词错误</abilityName>
      <candidateList>
        <item>亟须</item>
      </candidateList>
      <explain/>
      <paraID>597BB434</paraID>
      <start>72</start>
      <end>74</end>
      <status>unmodified</status>
      <modifiedWord/>
      <trackRevisions>false</trackRevisions>
    </reviewItem>
    <reviewItem>
      <errorID>96493a09-e4bf-4d69-8f59-485bdadee3e9</errorID>
      <errorWord>历史文化保护区</errorWord>
      <group>L1_Political</group>
      <groupName>政治性问题</groupName>
      <ability>L2_Keyword</ability>
      <abilityName>固定表述</abilityName>
      <candidateList>
        <item>历史文化街区</item>
      </candidateList>
      <explain>词汇“历史文化街区”在特定场景下为固定表述形式，请确认此处的“历史文化保护区”是否存在不当。</explain>
      <paraID> 88A5390</paraID>
      <start>10</start>
      <end>17</end>
      <status>unmodified</status>
      <modifiedWord/>
      <trackRevisions>false</trackRevisions>
    </reviewItem>
    <reviewItem>
      <errorID>1cb047fa-d710-4d6f-be0f-ff2ce968a932</errorID>
      <errorWord>进行讲座</errorWord>
      <group>L1_Word</group>
      <groupName>字词问题</groupName>
      <ability>L2_Alias</ability>
      <abilityName>也作/曾用词</abilityName>
      <candidateList>
        <item>举办讲座</item>
      </candidateList>
      <explain>词汇[进行讲座]为不规范表述或旧称，其规范书面表述为[举办讲座]。</explain>
      <paraID>3006530E</paraID>
      <start>52</start>
      <end>56</end>
      <status>unmodified</status>
      <modifiedWord/>
      <trackRevisions>false</trackRevisions>
    </reviewItem>
    <reviewItem>
      <errorID>a82f9ffb-506c-40aa-9db0-cb663b8ce3e5</errorID>
      <errorWord>亟需</errorWord>
      <group>L1_Word</group>
      <groupName>字词问题</groupName>
      <ability>L2_Typo</ability>
      <abilityName>字词错误</abilityName>
      <candidateList>
        <item>亟须</item>
      </candidateList>
      <explain/>
      <paraID>15AC4D69</paraID>
      <start>59</start>
      <end>61</end>
      <status>unmodified</status>
      <modifiedWord/>
      <trackRevisions>false</trackRevisions>
    </reviewItem>
    <reviewItem>
      <errorID>70742468-db36-4e39-bdf4-136e28c5edda</errorID>
      <errorWord>团队可</errorWord>
      <group>L1_Word</group>
      <groupName>字词问题</groupName>
      <ability>L2_Typo</ability>
      <abilityName>字词错误</abilityName>
      <candidateList>
        <item>团队</item>
      </candidateList>
      <explain/>
      <paraID>7AED0CD1</paraID>
      <start>4</start>
      <end>7</end>
      <status>unmodified</status>
      <modifiedWord/>
      <trackRevisions>false</trackRevisions>
    </reviewItem>
    <reviewItem>
      <errorID>29c277db-08a2-4f60-938a-1425c4239f96</errorID>
      <errorWord>提供的</errorWord>
      <group>L1_Word</group>
      <groupName>字词问题</groupName>
      <ability>L2_Typo</ability>
      <abilityName>字词错误</abilityName>
      <candidateList>
        <item>提供</item>
      </candidateList>
      <explain/>
      <paraID>7AED0CD1</paraID>
      <start>7</start>
      <end>10</end>
      <status>unmodified</status>
      <modifiedWord/>
      <trackRevisions>false</trackRevisions>
    </reviewItem>
    <reviewItem>
      <errorID>1f093af8-4d41-4364-a21c-600a876e5d15</errorID>
      <errorWord>阳</errorWord>
      <group>L1_Word</group>
      <groupName>字词问题</groupName>
      <ability>L2_Typo</ability>
      <abilityName>字词错误</abilityName>
      <candidateList>
        <item>阳区</item>
      </candidateList>
      <explain/>
      <paraID>4098D6FA</paraID>
      <start>3</start>
      <end>4</end>
      <status>unmodified</status>
      <modifiedWord/>
      <trackRevisions>false</trackRevisions>
    </reviewItem>
    <reviewItem>
      <errorID>b94b48e4-17f4-4564-a510-13e7850d809e</errorID>
      <errorWord>“十五五” 规划</errorWord>
      <group>L1_Political</group>
      <groupName>政治性问题</groupName>
      <ability>L2_Keyword</ability>
      <abilityName>固定表述</abilityName>
      <candidateList>
        <item>“十五五”规划</item>
      </candidateList>
      <explain>词汇““十五五”规划”在特定场景下为固定表述形式，请确认此处的““十五五” 规划”是否存在不当。</explain>
      <paraID>6DFCBAD0</paraID>
      <start>2</start>
      <end>10</end>
      <status>unmodified</status>
      <modifiedWord/>
      <trackRevisions>false</trackRevisions>
    </reviewItem>
    <reviewItem>
      <errorID>d00c714f-8f8b-427c-8b5f-f6d2d62fb847</errorID>
      <errorWord>，需</errorWord>
      <group>L1_Word</group>
      <groupName>字词问题</groupName>
      <ability>L2_Typo</ability>
      <abilityName>字词错误</abilityName>
      <candidateList>
        <item>，</item>
      </candidateList>
      <explain/>
      <paraID>6DFCBAD0</paraID>
      <start>77</start>
      <end>79</end>
      <status>unmodified</status>
      <modifiedWord/>
      <trackRevisions>false</trackRevisions>
    </reviewItem>
    <reviewItem>
      <errorID>fd1323d6-6e3d-4eba-9ad3-a26655ba47df</errorID>
      <errorWord>贴合所</errorWord>
      <group>L1_Word</group>
      <groupName>字词问题</groupName>
      <ability>L2_Typo</ability>
      <abilityName>字词错误</abilityName>
      <candidateList>
        <item>贴合</item>
      </candidateList>
      <explain/>
      <paraID>353C0391</paraID>
      <start>52</start>
      <end>55</end>
      <status>unmodified</status>
      <modifiedWord/>
      <trackRevisions>false</trackRevisions>
    </reviewItem>
    <reviewItem>
      <errorID>0fc1a926-b06b-4bd3-a128-0cd4b306e87e</errorID>
      <errorWord>需具备</errorWord>
      <group>L1_Word</group>
      <groupName>字词问题</groupName>
      <ability>L2_Typo</ability>
      <abilityName>字词错误</abilityName>
      <candidateList>
        <item>须具备</item>
      </candidateList>
      <explain/>
      <paraID>353C0391</paraID>
      <start>66</start>
      <end>69</end>
      <status>unmodified</status>
      <modifiedWord/>
      <trackRevisions>false</trackRevisions>
    </reviewItem>
    <reviewItem>
      <errorID>1c1d8682-427b-444f-873c-9021e2b323c4</errorID>
      <errorWord>晰</errorWord>
      <group>L1_Word</group>
      <groupName>字词问题</groupName>
      <ability>L2_Typo</ability>
      <abilityName>字词错误</abilityName>
      <candidateList>
        <item>晰地</item>
      </candidateList>
      <explain/>
      <paraID>  CACB36</paraID>
      <start>67</start>
      <end>68</end>
      <status>unmodified</status>
      <modifiedWord/>
      <trackRevisions>false</trackRevisions>
    </reviewItem>
    <reviewItem>
      <errorID>b8f63e0c-e8c3-47e9-84c8-8e4107fd026a</errorID>
      <errorWord>需</errorWord>
      <group>L1_Word</group>
      <groupName>字词问题</groupName>
      <ability>L2_Typo</ability>
      <abilityName>字词错误</abilityName>
      <candidateList>
        <item>须</item>
      </candidateList>
      <explain>存在发音相同字词的误用。</explain>
      <paraID>2E86E8F0</paraID>
      <start>2</start>
      <end>3</end>
      <status>unmodified</status>
      <modifiedWord/>
      <trackRevisions>false</trackRevisions>
    </reviewItem>
    <reviewItem>
      <errorID>18bb36f2-830f-4a27-9604-7764695121fb</errorID>
      <errorWord>具</errorWord>
      <group>L1_Word</group>
      <groupName>字词问题</groupName>
      <ability>L2_Typo</ability>
      <abilityName>字词错误</abilityName>
      <candidateList>
        <item>具有</item>
      </candidateList>
      <explain>〈动〉有（多用于抽象事物）：～信心｜～伟大的意义。</explain>
      <paraID>5C750204</paraID>
      <start>37</start>
      <end>38</end>
      <status>unmodified</status>
      <modifiedWord/>
      <trackRevisions>false</trackRevisions>
    </reviewItem>
    <reviewItem>
      <errorID>00760882-fa34-4627-89a9-a413963af701</errorID>
      <errorWord>，</errorWord>
      <group>L1_Word</group>
      <groupName>字词问题</groupName>
      <ability>L2_Typo</ability>
      <abilityName>字词错误</abilityName>
      <candidateList>
        <item>，由</item>
      </candidateList>
      <explain/>
      <paraID> 1B9B3A2</paraID>
      <start>129</start>
      <end>130</end>
      <status>unmodified</status>
      <modifiedWord/>
      <trackRevisions>false</trackRevisions>
    </reviewItem>
    <reviewItem>
      <errorID>e6261345-9a9d-4ab0-b71e-32cd2e4c34c7</errorID>
      <errorWord>，</errorWord>
      <group>L1_Word</group>
      <groupName>字词问题</groupName>
      <ability>L2_Typo</ability>
      <abilityName>字词错误</abilityName>
      <candidateList>
        <item>，由</item>
      </candidateList>
      <explain/>
      <paraID> 58B32CC</paraID>
      <start>56</start>
      <end>57</end>
      <status>unmodified</status>
      <modifiedWord/>
      <trackRevisions>false</trackRevisions>
    </reviewItem>
    <reviewItem>
      <errorID>d67038dc-2231-4422-9add-8c34f249e6cb</errorID>
      <errorWord>加入到</errorWord>
      <group>L1_Word</group>
      <groupName>字词问题</groupName>
      <ability>L2_Typo</ability>
      <abilityName>字词错误</abilityName>
      <candidateList>
        <item>加入</item>
      </candidateList>
      <explain>〈动〉❶加上；掺进去：～食糖少许。❷参加进去：～工会｜～足球队。</explain>
      <paraID>3DF6FD87</paraID>
      <start>65</start>
      <end>68</end>
      <status>unmodified</status>
      <modifiedWord/>
      <trackRevisions>false</trackRevisions>
    </reviewItem>
    <reviewItem>
      <errorID>be328907-793f-4dc3-a752-f2691bb60dff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1C63A31</paraID>
      <start>29</start>
      <end>30</end>
      <status>unmodified</status>
      <modifiedWord/>
      <trackRevisions>false</trackRevisions>
    </reviewItem>
    <reviewItem>
      <errorID>bbea2e4d-9f74-4412-b55d-a5964b078f80</errorID>
      <errorWord>.</errorWord>
      <group>L1_Format</group>
      <groupName>格式问题</groupName>
      <ability>L2_HalfPunc</ability>
      <abilityName>全半角检查</abilityName>
      <candidateList>
        <item>。</item>
      </candidateList>
      <explain>文本全半角错误。</explain>
      <paraID>1C6AC6C1</paraID>
      <start>35</start>
      <end>36</end>
      <status>modified</status>
      <modifiedWord>。</modifiedWord>
      <trackRevisions>false</trackRevisions>
    </reviewItem>
    <reviewItem>
      <errorID>5388d68d-06ad-46d4-be7d-a91a05fcbd54</errorID>
      <errorWord>流动人口约</errorWord>
      <group>L1_Word</group>
      <groupName>字词问题</groupName>
      <ability>L2_Typo</ability>
      <abilityName>字词错误</abilityName>
      <candidateList>
        <item>流动人口</item>
      </candidateList>
      <explain/>
      <paraID> 4621E65</paraID>
      <start>144</start>
      <end>149</end>
      <status>unmodified</status>
      <modifiedWord/>
      <trackRevisions>false</trackRevisions>
    </reviewItem>
    <reviewItem>
      <errorID>650e48f9-5331-4620-a24a-65efd0aa0f2b</errorID>
      <errorWord>,</errorWord>
      <group>L1_Format</group>
      <groupName>格式问题</groupName>
      <ability>L2_HalfPunc</ability>
      <abilityName>全半角检查</abilityName>
      <candidateList>
        <item>，</item>
      </candidateList>
      <explain>文本全半角错误。</explain>
      <paraID> 4621E65</paraID>
      <start>155</start>
      <end>156</end>
      <status>modified</status>
      <modifiedWord>，</modifiedWord>
      <trackRevisions>false</trackRevisions>
    </reviewItem>
    <reviewItem>
      <errorID>5bbf42a7-37bb-4650-9a83-268260b26e0e</errorID>
      <errorWord>详实</errorWord>
      <group>L1_Word</group>
      <groupName>字词问题</groupName>
      <ability>L2_Typo</ability>
      <abilityName>字词错误</abilityName>
      <candidateList>
        <item>翔实</item>
      </candidateList>
      <explain/>
      <paraID>76341E9A</paraID>
      <start>45</start>
      <end>47</end>
      <status>unmodified</status>
      <modifiedWord/>
      <trackRevisions>false</trackRevisions>
    </reviewItem>
    <reviewItem>
      <errorID>462303c1-546e-4390-b6f7-be97568ed535</errorID>
      <errorWord>需具备</errorWord>
      <group>L1_Word</group>
      <groupName>字词问题</groupName>
      <ability>L2_Typo</ability>
      <abilityName>字词错误</abilityName>
      <candidateList>
        <item>须具备</item>
      </candidateList>
      <explain/>
      <paraID>4594D39E</paraID>
      <start>4</start>
      <end>7</end>
      <status>unmodified</status>
      <modifiedWord/>
      <trackRevisions>false</trackRevisions>
    </reviewItem>
    <reviewItem>
      <errorID>356a2c1f-8b7a-47e9-83f2-5ba8405b0bf4</errorID>
      <errorWord>面临着</errorWord>
      <group>L1_Word</group>
      <groupName>字词问题</groupName>
      <ability>L2_Typo</ability>
      <abilityName>字词错误</abilityName>
      <candidateList>
        <item>面临</item>
      </candidateList>
      <explain/>
      <paraID>3B27D639</paraID>
      <start>182</start>
      <end>185</end>
      <status>unmodified</status>
      <modifiedWord/>
      <trackRevisions>false</trackRevisions>
    </reviewItem>
    <reviewItem>
      <errorID>ff1003c0-c888-40bf-a080-17d39caf4c05</errorID>
      <errorWord>划</errorWord>
      <group>L1_Word</group>
      <groupName>字词问题</groupName>
      <ability>L2_Typo</ability>
      <abilityName>字词错误</abilityName>
      <candidateList>
        <item>划方</item>
      </candidateList>
      <explain/>
      <paraID>2302824A</paraID>
      <start>12</start>
      <end>13</end>
      <status>unmodified</status>
      <modifiedWord/>
      <trackRevisions>false</trackRevisions>
    </reviewItem>
    <reviewItem>
      <errorID>10d73cbf-3236-4359-a5be-2b12538f040d</errorID>
      <errorWord>具</errorWord>
      <group>L1_Word</group>
      <groupName>字词问题</groupName>
      <ability>L2_Typo</ability>
      <abilityName>字词错误</abilityName>
      <candidateList>
        <item>具有</item>
      </candidateList>
      <explain>〈动〉有（多用于抽象事物）：～信心｜～伟大的意义。</explain>
      <paraID>  DEF013</paraID>
      <start>29</start>
      <end>30</end>
      <status>unmodified</status>
      <modifiedWord/>
      <trackRevisions>false</trackRevisions>
    </reviewItem>
    <reviewItem>
      <errorID>fd31a291-2570-4e7f-b203-ea00fc686f73</errorID>
      <errorWord>晰</errorWord>
      <group>L1_Word</group>
      <groupName>字词问题</groupName>
      <ability>L2_Typo</ability>
      <abilityName>字词错误</abilityName>
      <candidateList>
        <item>晰地</item>
      </candidateList>
      <explain/>
      <paraID> 194EE92</paraID>
      <start>33</start>
      <end>34</end>
      <status>unmodified</status>
      <modifiedWord/>
      <trackRevisions>false</trackRevisions>
    </reviewItem>
    <reviewItem>
      <errorID>b9de7c0c-5c1b-4317-b098-8f070b547382</errorID>
      <errorWord>跨镜</errorWord>
      <group>L1_Word</group>
      <groupName>字词问题</groupName>
      <ability>L2_Typo</ability>
      <abilityName>字词错误</abilityName>
      <candidateList>
        <item>跨境</item>
      </candidateList>
      <explain/>
      <paraID>24E66755</paraID>
      <start>38</start>
      <end>40</end>
      <status>unmodified</status>
      <modifiedWord/>
      <trackRevisions>false</trackRevisions>
    </reviewItem>
    <reviewItem>
      <errorID>d0495664-9fb6-4a9a-9d0a-27b373e9adaf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6A2AD59A</paraID>
      <start>0</start>
      <end>2</end>
      <status>modified</status>
      <modifiedWord>1.</modifiedWord>
      <trackRevisions>false</trackRevisions>
    </reviewItem>
    <reviewItem>
      <errorID>729d0c54-d353-4950-a2f4-5914a0989f5b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1F38807F</paraID>
      <start>0</start>
      <end>2</end>
      <status>modified</status>
      <modifiedWord>2.</modifiedWord>
      <trackRevisions>false</trackRevisions>
    </reviewItem>
    <reviewItem>
      <errorID>9e7b70ca-da13-4b5c-be39-2ccd234bc57e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634FD390</paraID>
      <start>0</start>
      <end>2</end>
      <status>modified</status>
      <modifiedWord>3.</modifiedWord>
      <trackRevisions>false</trackRevisions>
    </reviewItem>
    <reviewItem>
      <errorID>42d586a7-a766-4fe6-8923-77525a8333a8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463146F9</paraID>
      <start>0</start>
      <end>2</end>
      <status>modified</status>
      <modifiedWord>1.</modifiedWord>
      <trackRevisions>false</trackRevisions>
    </reviewItem>
    <reviewItem>
      <errorID>0f3b197e-a4bf-49e3-a80f-6b75312ae706</errorID>
      <errorWord>，</errorWord>
      <group>L1_Word</group>
      <groupName>字词问题</groupName>
      <ability>L2_Typo</ability>
      <abilityName>字词错误</abilityName>
      <candidateList>
        <item>，在</item>
      </candidateList>
      <explain/>
      <paraID> BCD567E</paraID>
      <start>40</start>
      <end>41</end>
      <status>unmodified</status>
      <modifiedWord/>
      <trackRevisions>false</trackRevisions>
    </reviewItem>
    <reviewItem>
      <errorID>9885773f-d855-4ba4-9ae3-28ab6a7f8a8a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3D5CB8D0</paraID>
      <start>74</start>
      <end>77</end>
      <status>unmodified</status>
      <modifiedWord/>
      <trackRevisions>false</trackRevisions>
    </reviewItem>
    <reviewItem>
      <errorID>7a055065-5246-4fc4-b7c5-7dc42addc33d</errorID>
      <errorWord>亟需</errorWord>
      <group>L1_Word</group>
      <groupName>字词问题</groupName>
      <ability>L2_Typo</ability>
      <abilityName>字词错误</abilityName>
      <candidateList>
        <item>亟须</item>
      </candidateList>
      <explain/>
      <paraID>5855DD1C</paraID>
      <start>74</start>
      <end>76</end>
      <status>unmodified</status>
      <modifiedWord/>
      <trackRevisions>false</trackRevisions>
    </reviewItem>
    <reviewItem>
      <errorID>f9bcda7c-24e9-45f2-a098-40061179fc6d</errorID>
      <errorWord>破解</errorWord>
      <group>L1_Grammar</group>
      <groupName>语法问题</groupName>
      <ability>L2_Grammar</ability>
      <abilityName>语法错误</abilityName>
      <candidateList>
        <item>摆脱</item>
      </candidateList>
      <explain>“破解～困境”搭配不当，建议修改为“摆脱～困境”。</explain>
      <paraID>5855DD1C</paraID>
      <start>83</start>
      <end>85</end>
      <status>unmodified</status>
      <modifiedWord/>
      <trackRevisions>false</trackRevisions>
    </reviewItem>
    <reviewItem>
      <errorID>345c7d03-07e5-496c-9635-6b70d0b5453f</errorID>
      <errorWord>用</errorWord>
      <group>L1_Word</group>
      <groupName>字词问题</groupName>
      <ability>L2_Typo</ability>
      <abilityName>字词错误</abilityName>
      <candidateList>
        <item>用于</item>
      </candidateList>
      <explain/>
      <paraID> 790DB05</paraID>
      <start>40</start>
      <end>41</end>
      <status>unmodified</status>
      <modifiedWord/>
      <trackRevisions>false</trackRevisions>
    </reviewItem>
    <reviewItem>
      <errorID>4ebc375e-cb6e-4946-8e37-837d54caba0b</errorID>
      <errorWord>具</errorWord>
      <group>L1_Word</group>
      <groupName>字词问题</groupName>
      <ability>L2_Typo</ability>
      <abilityName>字词错误</abilityName>
      <candidateList>
        <item>具有</item>
      </candidateList>
      <explain>〈动〉有（多用于抽象事物）：～信心｜～伟大的意义。</explain>
      <paraID>606B6722</paraID>
      <start>30</start>
      <end>31</end>
      <status>unmodified</status>
      <modifiedWord/>
      <trackRevisions>false</trackRevisions>
    </reviewItem>
    <reviewItem>
      <errorID>c3f17019-1bf5-44b9-8627-1d051931c440</errorID>
      <errorWord>详实</errorWord>
      <group>L1_Word</group>
      <groupName>字词问题</groupName>
      <ability>L2_Typo</ability>
      <abilityName>字词错误</abilityName>
      <candidateList>
        <item>翔实</item>
      </candidateList>
      <explain/>
      <paraID>382658A2</paraID>
      <start>29</start>
      <end>31</end>
      <status>unmodified</status>
      <modifiedWord/>
      <trackRevisions>false</trackRevisions>
    </reviewItem>
    <reviewItem>
      <errorID>836dfa2c-cfd9-4e60-ad8a-a9141e78f710</errorID>
      <errorWord>，</errorWord>
      <group>L1_Word</group>
      <groupName>字词问题</groupName>
      <ability>L2_Typo</ability>
      <abilityName>字词错误</abilityName>
      <candidateList>
        <item>，包</item>
      </candidateList>
      <explain/>
      <paraID>3224ED1A</paraID>
      <start>32</start>
      <end>33</end>
      <status>unmodified</status>
      <modifiedWord/>
      <trackRevisions>false</trackRevisions>
    </reviewItem>
    <reviewItem>
      <errorID>4dfca348-af26-4c0b-89a4-3a819f029933</errorID>
      <errorWord>考察</errorWord>
      <group>L1_Word</group>
      <groupName>字词问题</groupName>
      <ability>L2_Typo</ability>
      <abilityName>字词错误</abilityName>
      <candidateList>
        <item>考查</item>
      </candidateList>
      <explain>〈动〉用一定的标准来检查衡量（行为、活动）：～学生的学业成绩。</explain>
      <paraID>7FA61AA3</paraID>
      <start>15</start>
      <end>17</end>
      <status>unmodified</status>
      <modifiedWord/>
      <trackRevisions>false</trackRevisions>
    </reviewItem>
    <reviewItem>
      <errorID>f2ffcc5d-d0b0-4565-8214-af403d1845c5</errorID>
      <errorWord>需具备</errorWord>
      <group>L1_Word</group>
      <groupName>字词问题</groupName>
      <ability>L2_Typo</ability>
      <abilityName>字词错误</abilityName>
      <candidateList>
        <item>须具备</item>
      </candidateList>
      <explain/>
      <paraID>211E5698</paraID>
      <start>34</start>
      <end>37</end>
      <status>unmodified</status>
      <modifiedWord/>
      <trackRevisions>false</trackRevisions>
    </reviewItem>
    <reviewItem>
      <errorID>fc3664ec-d56d-4fa1-b2cc-e1524c7e91b5</errorID>
      <errorWord>应答</errorWord>
      <group>L1_Word</group>
      <groupName>字词问题</groupName>
      <ability>L2_Typo</ability>
      <abilityName>字词错误</abilityName>
      <candidateList>
        <item>应对</item>
      </candidateList>
      <explain/>
      <paraID>4132E385</paraID>
      <start>10</start>
      <end>12</end>
      <status>unmodified</status>
      <modifiedWord/>
      <trackRevisions>false</trackRevisions>
    </reviewItem>
    <reviewItem>
      <errorID>dc82d1a9-99e5-494f-b75f-2ed464dc34e4</errorID>
      <errorWord>.</errorWord>
      <group>L1_Format</group>
      <groupName>格式问题</groupName>
      <ability>L2_HalfPunc</ability>
      <abilityName>全半角检查</abilityName>
      <candidateList>
        <item>。</item>
      </candidateList>
      <explain>文本全半角错误。</explain>
      <paraID>2420FBEC</paraID>
      <start>14</start>
      <end>15</end>
      <status>modified</status>
      <modifiedWord>。</modifiedWord>
      <trackRevisions>false</trackRevisions>
    </reviewItem>
    <reviewItem>
      <errorID>7ded7614-f670-40cd-ad14-646e96ea2f51</errorID>
      <errorWord>级级</errorWord>
      <group>L1_Word</group>
      <groupName>字词问题</groupName>
      <ability>L2_Typo</ability>
      <abilityName>字词错误</abilityName>
      <candidateList>
        <item>级</item>
      </candidateList>
      <explain/>
      <paraID>48099B18</paraID>
      <start>8</start>
      <end>10</end>
      <status>unmodified</status>
      <modifiedWord/>
      <trackRevisions>false</trackRevisions>
    </reviewItem>
    <reviewItem>
      <errorID>779565a1-c00a-4db7-b071-0adb02b7506d</errorID>
      <errorWord>提供的</errorWord>
      <group>L1_Word</group>
      <groupName>字词问题</groupName>
      <ability>L2_Typo</ability>
      <abilityName>字词错误</abilityName>
      <candidateList>
        <item>提供</item>
      </candidateList>
      <explain/>
      <paraID>5074D1FA</paraID>
      <start>6</start>
      <end>9</end>
      <status>unmodified</status>
      <modifiedWord/>
      <trackRevisions>false</trackRevisions>
    </reviewItem>
    <reviewItem>
      <errorID>d08be214-7bd9-4a49-b530-8eb21f98b932</errorID>
      <errorWord>高品质</errorWord>
      <group>L1_Grammar</group>
      <groupName>语法问题</groupName>
      <ability>L2_Grammar</ability>
      <abilityName>语法错误</abilityName>
      <candidateList>
        <item>高质量</item>
      </candidateList>
      <explain>“高品质～发展”搭配不当，建议修改为“高质量～发展”。</explain>
      <paraID>3D600368</paraID>
      <start>155</start>
      <end>158</end>
      <status>unmodified</status>
      <modifiedWord/>
      <trackRevisions>false</trackRevisions>
    </reviewItem>
    <reviewItem>
      <errorID>bfa41e32-bf18-4d19-a112-1111f9083bab</errorID>
      <errorWord>商</errorWord>
      <group>L1_Word</group>
      <groupName>字词问题</groupName>
      <ability>L2_Typo</ability>
      <abilityName>字词错误</abilityName>
      <candidateList>
        <item>商业</item>
      </candidateList>
      <explain/>
      <paraID>610EAD9C</paraID>
      <start>122</start>
      <end>123</end>
      <status>unmodified</status>
      <modifiedWord/>
      <trackRevisions>false</trackRevisions>
    </reviewItem>
    <reviewItem>
      <errorID>7d378937-08b3-49e0-85a9-4741bdd24133</errorID>
      <errorWord>市场</errorWord>
      <group>L1_Word</group>
      <groupName>字词问题</groupName>
      <ability>L2_Typo</ability>
      <abilityName>字词错误</abilityName>
      <candidateList>
        <item>场</item>
      </candidateList>
      <explain/>
      <paraID>610EAD9C</paraID>
      <start>123</start>
      <end>125</end>
      <status>unmodified</status>
      <modifiedWord/>
      <trackRevisions>false</trackRevisions>
    </reviewItem>
    <reviewItem>
      <errorID>f5ac3d0c-b4fb-41e6-bb87-ff76fe88ce91</errorID>
      <errorWord>(</errorWord>
      <group>L1_Format</group>
      <groupName>格式问题</groupName>
      <ability>L2_HalfPunc</ability>
      <abilityName>全半角检查</abilityName>
      <candidateList>
        <item>（</item>
      </candidateList>
      <explain>文本全半角错误。</explain>
      <paraID>4AF743B1</paraID>
      <start>49</start>
      <end>50</end>
      <status>modified</status>
      <modifiedWord>（</modifiedWord>
      <trackRevisions>false</trackRevisions>
    </reviewItem>
    <reviewItem>
      <errorID>4a84a1f0-2833-4970-9f92-8e26f45fd01c</errorID>
      <errorWord>)</errorWord>
      <group>L1_Format</group>
      <groupName>格式问题</groupName>
      <ability>L2_HalfPunc</ability>
      <abilityName>全半角检查</abilityName>
      <candidateList>
        <item>）</item>
      </candidateList>
      <explain>文本全半角错误。</explain>
      <paraID>4AF743B1</paraID>
      <start>58</start>
      <end>59</end>
      <status>modified</status>
      <modifiedWord>）</modifiedWord>
      <trackRevisions>false</trackRevisions>
    </reviewItem>
    <reviewItem>
      <errorID>de1aa5dc-4831-44a1-a9ee-a665ebb2e2d8</errorID>
      <errorWord>，</errorWord>
      <group>L1_Word</group>
      <groupName>字词问题</groupName>
      <ability>L2_Typo</ability>
      <abilityName>字词错误</abilityName>
      <candidateList>
        <item>，在</item>
      </candidateList>
      <explain/>
      <paraID>204D84D9</paraID>
      <start>24</start>
      <end>25</end>
      <status>unmodified</status>
      <modifiedWord/>
      <trackRevisions>false</trackRevisions>
    </reviewItem>
    <reviewItem>
      <errorID>64c2af68-9777-4a3e-8b4a-110aacc1c7ba</errorID>
      <errorWord>，</errorWord>
      <group>L1_Word</group>
      <groupName>字词问题</groupName>
      <ability>L2_Typo</ability>
      <abilityName>字词错误</abilityName>
      <candidateList>
        <item>，为</item>
      </candidateList>
      <explain/>
      <paraID>2260495F</paraID>
      <start>25</start>
      <end>26</end>
      <status>unmodified</status>
      <modifiedWord/>
      <trackRevisions>false</trackRevisions>
    </reviewItem>
    <reviewItem>
      <errorID>fe02f531-4fe7-4f92-b95e-7a917b0b9e3d</errorID>
      <errorWord>平米</errorWord>
      <group>L1_Word</group>
      <groupName>字词问题</groupName>
      <ability>L2_Typo</ability>
      <abilityName>字词错误</abilityName>
      <candidateList>
        <item>平方米</item>
      </candidateList>
      <explain>〈量〉面积单位，边长1米的正方形的面积是1平方米，符号为m²。</explain>
      <paraID>2ED6C9F4</paraID>
      <start>84</start>
      <end>86</end>
      <status>unmodified</status>
      <modifiedWord/>
      <trackRevisions>false</trackRevisions>
    </reviewItem>
    <reviewItem>
      <errorID>41ba7c58-4938-4d53-964c-fed14e48dae6</errorID>
      <errorWord>详实</errorWord>
      <group>L1_Word</group>
      <groupName>字词问题</groupName>
      <ability>L2_Typo</ability>
      <abilityName>字词错误</abilityName>
      <candidateList>
        <item>翔实</item>
      </candidateList>
      <explain/>
      <paraID>5F14651B</paraID>
      <start>12</start>
      <end>14</end>
      <status>unmodified</status>
      <modifiedWord/>
      <trackRevisions>false</trackRevisions>
    </reviewItem>
    <reviewItem>
      <errorID>e4c957f5-5e0a-4a58-8ab4-14c7d540e6c6</errorID>
      <errorWord>护</errorWord>
      <group>L1_Word</group>
      <groupName>字词问题</groupName>
      <ability>L2_Typo</ability>
      <abilityName>字词错误</abilityName>
      <candidateList>
        <item>护等</item>
      </candidateList>
      <explain/>
      <paraID>24135ADB</paraID>
      <start>42</start>
      <end>43</end>
      <status>unmodified</status>
      <modifiedWord/>
      <trackRevisions>false</trackRevisions>
    </reviewItem>
    <reviewItem>
      <errorID>1fdfc0c9-c4bd-4b23-89dd-331a3fe870b7</errorID>
      <errorWord>平</errorWord>
      <group>L1_Word</group>
      <groupName>字词问题</groupName>
      <ability>L2_Typo</ability>
      <abilityName>字词错误</abilityName>
      <candidateList>
        <item>平方</item>
      </candidateList>
      <explain/>
      <paraID>1B5EF4A4</paraID>
      <start>63</start>
      <end>64</end>
      <status>unmodified</status>
      <modifiedWord/>
      <trackRevisions>false</trackRevisions>
    </reviewItem>
  </reviewItems>
  <config/>
</contractReview>
</file>

<file path=customXml/itemProps1.xml><?xml version="1.0" encoding="utf-8"?>
<ds:datastoreItem xmlns:ds="http://schemas.openxmlformats.org/officeDocument/2006/customXml" ds:itemID="{5c2ad2b0-532f-429f-bc48-0b6531769d2a}">
  <ds:schemaRefs/>
</ds:datastoreItem>
</file>

<file path=docProps/app.xml><?xml version="1.0" encoding="utf-8"?>
<Properties xmlns="http://schemas.openxmlformats.org/officeDocument/2006/extended-properties" xmlns:vt="http://schemas.openxmlformats.org/officeDocument/2006/docPropsVTypes">
  <Pages>77</Pages>
  <Words>12725</Words>
  <Characters>13095</Characters>
  <Lines>16</Lines>
  <Paragraphs>4</Paragraphs>
  <TotalTime>19</TotalTime>
  <ScaleCrop>false</ScaleCrop>
  <LinksUpToDate>false</LinksUpToDate>
  <CharactersWithSpaces>13120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2023-01-02T05:38:00Z</dcterms:created>
  <dc:creator>张 斌</dc:creator>
  <cp:lastModifiedBy>蒋公博</cp:lastModifiedBy>
  <cp:lastPrinted>2026-02-09T16:14:00Z</cp:lastPrinted>
  <dcterms:modified xsi:type="dcterms:W3CDTF">2026-03-30T08:23:47Z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F2CDFE8208D5452D9AE1690BFEE16A82_13</vt:lpwstr>
  </property>
  <property fmtid="{D5CDD505-2E9C-101B-9397-08002B2CF9AE}" pid="4" name="KSOTemplateDocerSaveRecord">
    <vt:lpwstr>eyJoZGlkIjoiMzEwNTM5NzYwMDRjMzkwZTVkZjY2ODkwMGIxNGU0OTUiLCJ1c2VySWQiOiI1MTk0NDI5ODIifQ==</vt:lpwstr>
  </property>
</Properties>
</file>