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6DD136">
      <w:pPr>
        <w:keepNext w:val="0"/>
        <w:keepLines w:val="0"/>
        <w:pageBreakBefore w:val="0"/>
        <w:widowControl w:val="0"/>
        <w:kinsoku/>
        <w:wordWrap w:val="0"/>
        <w:overflowPunct/>
        <w:topLinePunct w:val="0"/>
        <w:autoSpaceDE/>
        <w:autoSpaceDN/>
        <w:bidi w:val="0"/>
        <w:adjustRightInd w:val="0"/>
        <w:snapToGrid w:val="0"/>
        <w:spacing w:line="560" w:lineRule="exact"/>
        <w:jc w:val="both"/>
        <w:textAlignment w:val="auto"/>
        <w:rPr>
          <w:rFonts w:hint="default" w:ascii="Times New Roman" w:hAnsi="Times New Roman" w:eastAsia="仿宋_GB2312" w:cs="Times New Roman"/>
          <w:b w:val="0"/>
          <w:bCs/>
          <w:kern w:val="2"/>
          <w:sz w:val="32"/>
          <w:szCs w:val="32"/>
          <w:highlight w:val="none"/>
          <w:lang w:val="en-US" w:eastAsia="zh-CN"/>
        </w:rPr>
      </w:pPr>
      <w:r>
        <w:rPr>
          <w:rFonts w:hint="default" w:ascii="Times New Roman" w:hAnsi="Times New Roman" w:eastAsia="仿宋_GB2312" w:cs="Times New Roman"/>
          <w:b w:val="0"/>
          <w:bCs/>
          <w:kern w:val="2"/>
          <w:sz w:val="32"/>
          <w:szCs w:val="32"/>
          <w:highlight w:val="none"/>
          <w:lang w:val="en-US" w:eastAsia="zh-CN"/>
        </w:rPr>
        <w:t>附件</w:t>
      </w:r>
      <w:r>
        <w:rPr>
          <w:rFonts w:hint="eastAsia" w:eastAsia="仿宋_GB2312" w:cs="Times New Roman"/>
          <w:b w:val="0"/>
          <w:bCs/>
          <w:kern w:val="2"/>
          <w:sz w:val="32"/>
          <w:szCs w:val="32"/>
          <w:highlight w:val="none"/>
          <w:lang w:val="en-US" w:eastAsia="zh-CN"/>
        </w:rPr>
        <w:t>2-1</w:t>
      </w:r>
      <w:r>
        <w:rPr>
          <w:rFonts w:hint="default" w:ascii="Times New Roman" w:hAnsi="Times New Roman" w:eastAsia="仿宋_GB2312" w:cs="Times New Roman"/>
          <w:b w:val="0"/>
          <w:bCs/>
          <w:kern w:val="2"/>
          <w:sz w:val="32"/>
          <w:szCs w:val="32"/>
          <w:highlight w:val="none"/>
          <w:lang w:val="en-US" w:eastAsia="zh-CN"/>
        </w:rPr>
        <w:t>：</w:t>
      </w:r>
    </w:p>
    <w:p w14:paraId="3BC7FB12">
      <w:pPr>
        <w:keepNext w:val="0"/>
        <w:keepLines w:val="0"/>
        <w:pageBreakBefore w:val="0"/>
        <w:widowControl w:val="0"/>
        <w:kinsoku/>
        <w:wordWrap w:val="0"/>
        <w:overflowPunct/>
        <w:topLinePunct w:val="0"/>
        <w:autoSpaceDE/>
        <w:autoSpaceDN/>
        <w:bidi w:val="0"/>
        <w:adjustRightInd w:val="0"/>
        <w:snapToGrid w:val="0"/>
        <w:spacing w:line="560" w:lineRule="exact"/>
        <w:jc w:val="both"/>
        <w:textAlignment w:val="auto"/>
        <w:rPr>
          <w:rFonts w:hint="default" w:ascii="Times New Roman" w:hAnsi="Times New Roman" w:eastAsia="仿宋_GB2312" w:cs="Times New Roman"/>
          <w:b w:val="0"/>
          <w:bCs/>
          <w:kern w:val="2"/>
          <w:sz w:val="32"/>
          <w:szCs w:val="32"/>
          <w:highlight w:val="none"/>
          <w:lang w:val="en-US" w:eastAsia="zh-CN"/>
        </w:rPr>
      </w:pPr>
    </w:p>
    <w:p w14:paraId="32548816">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“青智未来”新质生产力</w:t>
      </w:r>
      <w:r>
        <w:rPr>
          <w:rFonts w:hint="default" w:ascii="Times New Roman" w:hAnsi="Times New Roman" w:eastAsia="方正小标宋简体" w:cs="Times New Roman"/>
          <w:b w:val="0"/>
          <w:bCs/>
          <w:kern w:val="2"/>
          <w:sz w:val="44"/>
          <w:szCs w:val="32"/>
          <w:highlight w:val="none"/>
          <w:lang w:val="en-US" w:eastAsia="zh-CN"/>
        </w:rPr>
        <w:t>专项赛</w:t>
      </w:r>
    </w:p>
    <w:p w14:paraId="7189E65B">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ascii="Times New Roman" w:hAnsi="Times New Roman" w:eastAsia="宋体" w:cs="Times New Roman"/>
          <w:b w:val="0"/>
          <w:bCs/>
          <w:kern w:val="2"/>
          <w:sz w:val="21"/>
          <w:lang w:val="en-US"/>
        </w:rPr>
      </w:pPr>
      <w:r>
        <w:rPr>
          <w:rFonts w:hint="default" w:ascii="Times New Roman" w:hAnsi="Times New Roman" w:eastAsia="方正小标宋简体" w:cs="Times New Roman"/>
          <w:b w:val="0"/>
          <w:bCs/>
          <w:kern w:val="2"/>
          <w:sz w:val="44"/>
          <w:szCs w:val="32"/>
          <w:highlight w:val="none"/>
          <w:lang w:val="en-US" w:eastAsia="zh-CN"/>
        </w:rPr>
        <w:t>项目需求榜单</w:t>
      </w:r>
    </w:p>
    <w:p w14:paraId="069755BC">
      <w:pPr>
        <w:keepNext w:val="0"/>
        <w:keepLines w:val="0"/>
        <w:pageBreakBefore w:val="0"/>
        <w:widowControl w:val="0"/>
        <w:kinsoku/>
        <w:wordWrap w:val="0"/>
        <w:topLinePunct w:val="0"/>
        <w:autoSpaceDE/>
        <w:autoSpaceDN/>
        <w:bidi w:val="0"/>
        <w:adjustRightInd/>
        <w:snapToGrid/>
        <w:jc w:val="both"/>
        <w:rPr>
          <w:rFonts w:ascii="Times New Roman" w:hAnsi="Times New Roman" w:eastAsia="宋体" w:cs="Times New Roman"/>
          <w:b w:val="0"/>
          <w:bCs/>
          <w:kern w:val="2"/>
          <w:sz w:val="21"/>
          <w:lang w:val="en-US"/>
        </w:rPr>
      </w:pPr>
    </w:p>
    <w:tbl>
      <w:tblPr>
        <w:tblStyle w:val="11"/>
        <w:tblW w:w="499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6"/>
        <w:gridCol w:w="3921"/>
        <w:gridCol w:w="3730"/>
      </w:tblGrid>
      <w:tr w14:paraId="64B74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5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21EF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黑体" w:cs="Times New Roman"/>
                <w:i w:val="0"/>
                <w:iCs w:val="0"/>
                <w:color w:val="000000"/>
                <w:sz w:val="28"/>
                <w:szCs w:val="28"/>
                <w:u w:val="none"/>
              </w:rPr>
            </w:pPr>
            <w:r>
              <w:rPr>
                <w:rFonts w:hint="default" w:ascii="Times New Roman" w:hAnsi="Times New Roman" w:eastAsia="黑体" w:cs="Times New Roman"/>
                <w:i w:val="0"/>
                <w:iCs w:val="0"/>
                <w:color w:val="000000"/>
                <w:kern w:val="0"/>
                <w:sz w:val="28"/>
                <w:szCs w:val="28"/>
                <w:u w:val="none"/>
                <w:lang w:val="en-US" w:eastAsia="zh-CN" w:bidi="ar"/>
              </w:rPr>
              <w:t>序号</w:t>
            </w:r>
          </w:p>
        </w:tc>
        <w:tc>
          <w:tcPr>
            <w:tcW w:w="23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82DA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黑体" w:hAnsi="黑体" w:eastAsia="黑体" w:cs="黑体"/>
                <w:i w:val="0"/>
                <w:iCs w:val="0"/>
                <w:color w:val="000000"/>
                <w:sz w:val="28"/>
                <w:szCs w:val="28"/>
                <w:u w:val="none"/>
              </w:rPr>
            </w:pPr>
            <w:r>
              <w:rPr>
                <w:rFonts w:hint="eastAsia" w:ascii="黑体" w:hAnsi="黑体" w:eastAsia="黑体" w:cs="黑体"/>
                <w:i w:val="0"/>
                <w:iCs w:val="0"/>
                <w:color w:val="000000"/>
                <w:kern w:val="0"/>
                <w:sz w:val="28"/>
                <w:szCs w:val="28"/>
                <w:u w:val="none"/>
                <w:lang w:val="en-US" w:eastAsia="zh-CN" w:bidi="ar"/>
              </w:rPr>
              <w:t>榜题</w:t>
            </w:r>
          </w:p>
        </w:tc>
        <w:tc>
          <w:tcPr>
            <w:tcW w:w="21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24CE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黑体" w:hAnsi="黑体" w:eastAsia="黑体" w:cs="黑体"/>
                <w:i w:val="0"/>
                <w:iCs w:val="0"/>
                <w:color w:val="000000"/>
                <w:sz w:val="28"/>
                <w:szCs w:val="28"/>
                <w:u w:val="none"/>
              </w:rPr>
            </w:pPr>
            <w:r>
              <w:rPr>
                <w:rFonts w:hint="eastAsia" w:ascii="黑体" w:hAnsi="黑体" w:eastAsia="黑体" w:cs="黑体"/>
                <w:i w:val="0"/>
                <w:iCs w:val="0"/>
                <w:color w:val="000000"/>
                <w:kern w:val="0"/>
                <w:sz w:val="28"/>
                <w:szCs w:val="28"/>
                <w:u w:val="none"/>
                <w:lang w:val="en-US" w:eastAsia="zh-CN" w:bidi="ar"/>
              </w:rPr>
              <w:t>发榜单位</w:t>
            </w:r>
          </w:p>
        </w:tc>
      </w:tr>
      <w:tr w14:paraId="5314D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5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2F14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1</w:t>
            </w:r>
          </w:p>
        </w:tc>
        <w:tc>
          <w:tcPr>
            <w:tcW w:w="2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2F6F0">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类地行星感应磁层的离子动力学特性研究</w:t>
            </w:r>
          </w:p>
        </w:tc>
        <w:tc>
          <w:tcPr>
            <w:tcW w:w="2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D6CE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应急管理部国家自然灾害防治</w:t>
            </w:r>
          </w:p>
          <w:p w14:paraId="3783135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研究院</w:t>
            </w:r>
          </w:p>
        </w:tc>
      </w:tr>
      <w:tr w14:paraId="12F6E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5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B5E5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2</w:t>
            </w:r>
          </w:p>
        </w:tc>
        <w:tc>
          <w:tcPr>
            <w:tcW w:w="2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2C37E">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highlight w:val="none"/>
                <w:u w:val="none"/>
                <w:lang w:val="en-US" w:eastAsia="zh-CN" w:bidi="ar"/>
              </w:rPr>
              <w:t>跑鞋缓震性能的主客观映射模型构建及量化评价方法研究</w:t>
            </w:r>
          </w:p>
        </w:tc>
        <w:tc>
          <w:tcPr>
            <w:tcW w:w="2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604E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李宁（中国）体育用品有限公司</w:t>
            </w:r>
          </w:p>
        </w:tc>
      </w:tr>
      <w:tr w14:paraId="51387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5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2F2A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3</w:t>
            </w:r>
          </w:p>
        </w:tc>
        <w:tc>
          <w:tcPr>
            <w:tcW w:w="2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55F35">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基于多模态情感行为计算的自闭症谱系障碍（ASD）儿童社交技能个性化干预系统</w:t>
            </w:r>
          </w:p>
        </w:tc>
        <w:tc>
          <w:tcPr>
            <w:tcW w:w="2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33C9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朝阳区爱心语润智力残疾人</w:t>
            </w:r>
          </w:p>
          <w:p w14:paraId="55EE99B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康复服务中心</w:t>
            </w:r>
          </w:p>
        </w:tc>
      </w:tr>
      <w:tr w14:paraId="167ED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5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7438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eastAsia" w:eastAsia="仿宋_GB2312" w:cs="Times New Roman"/>
                <w:i w:val="0"/>
                <w:iCs w:val="0"/>
                <w:color w:val="000000"/>
                <w:sz w:val="24"/>
                <w:szCs w:val="24"/>
                <w:u w:val="none"/>
                <w:lang w:val="en-US" w:eastAsia="zh-CN"/>
              </w:rPr>
              <w:t>4</w:t>
            </w:r>
          </w:p>
        </w:tc>
        <w:tc>
          <w:tcPr>
            <w:tcW w:w="2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C38D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w w:val="95"/>
                <w:kern w:val="0"/>
                <w:sz w:val="24"/>
                <w:szCs w:val="24"/>
                <w:highlight w:val="none"/>
                <w:u w:val="none"/>
                <w:lang w:val="en-US" w:eastAsia="zh-CN" w:bidi="ar"/>
              </w:rPr>
              <w:t>新型模块化线控底盘架构设计与应用</w:t>
            </w:r>
          </w:p>
        </w:tc>
        <w:tc>
          <w:tcPr>
            <w:tcW w:w="2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C6FB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北汽福田汽车股份有限公司</w:t>
            </w:r>
          </w:p>
        </w:tc>
      </w:tr>
      <w:tr w14:paraId="2270F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5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95B5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eastAsia" w:eastAsia="仿宋_GB2312" w:cs="Times New Roman"/>
                <w:i w:val="0"/>
                <w:iCs w:val="0"/>
                <w:color w:val="000000"/>
                <w:sz w:val="24"/>
                <w:szCs w:val="24"/>
                <w:u w:val="none"/>
                <w:lang w:val="en-US" w:eastAsia="zh-CN"/>
              </w:rPr>
              <w:t>5</w:t>
            </w:r>
          </w:p>
        </w:tc>
        <w:tc>
          <w:tcPr>
            <w:tcW w:w="2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AD2ED">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面向城市复杂交通场景的智能网联汽车应用创新方案设计</w:t>
            </w:r>
          </w:p>
        </w:tc>
        <w:tc>
          <w:tcPr>
            <w:tcW w:w="2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A509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w w:val="96"/>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北京汽车研究总院有限公司</w:t>
            </w:r>
          </w:p>
        </w:tc>
      </w:tr>
      <w:tr w14:paraId="30B75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5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D751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eastAsia" w:eastAsia="仿宋_GB2312" w:cs="Times New Roman"/>
                <w:i w:val="0"/>
                <w:iCs w:val="0"/>
                <w:color w:val="000000"/>
                <w:sz w:val="24"/>
                <w:szCs w:val="24"/>
                <w:u w:val="none"/>
                <w:lang w:val="en-US" w:eastAsia="zh-CN"/>
              </w:rPr>
              <w:t>6</w:t>
            </w:r>
          </w:p>
        </w:tc>
        <w:tc>
          <w:tcPr>
            <w:tcW w:w="2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0290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面向智能网联汽车运行行为数据监测的大模型技术</w:t>
            </w:r>
          </w:p>
        </w:tc>
        <w:tc>
          <w:tcPr>
            <w:tcW w:w="2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84EF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北京汽车研究总院有限公司</w:t>
            </w:r>
          </w:p>
        </w:tc>
      </w:tr>
      <w:tr w14:paraId="24CB5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5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9D8A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eastAsia" w:eastAsia="仿宋_GB2312" w:cs="Times New Roman"/>
                <w:i w:val="0"/>
                <w:iCs w:val="0"/>
                <w:color w:val="000000"/>
                <w:sz w:val="24"/>
                <w:szCs w:val="24"/>
                <w:u w:val="none"/>
                <w:lang w:val="en-US" w:eastAsia="zh-CN"/>
              </w:rPr>
              <w:t>7</w:t>
            </w:r>
          </w:p>
        </w:tc>
        <w:tc>
          <w:tcPr>
            <w:tcW w:w="2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0990A">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警擎：大模型推理增强的智慧警务系统研究</w:t>
            </w:r>
          </w:p>
        </w:tc>
        <w:tc>
          <w:tcPr>
            <w:tcW w:w="2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C317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中国移动通信集团北京有限公司</w:t>
            </w:r>
          </w:p>
        </w:tc>
      </w:tr>
      <w:tr w14:paraId="639D2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5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F699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eastAsia" w:eastAsia="仿宋_GB2312" w:cs="Times New Roman"/>
                <w:i w:val="0"/>
                <w:iCs w:val="0"/>
                <w:color w:val="000000"/>
                <w:sz w:val="24"/>
                <w:szCs w:val="24"/>
                <w:u w:val="none"/>
                <w:lang w:val="en-US" w:eastAsia="zh-CN"/>
              </w:rPr>
              <w:t>8</w:t>
            </w:r>
          </w:p>
        </w:tc>
        <w:tc>
          <w:tcPr>
            <w:tcW w:w="2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6982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面向应急通信的具身智能无人机通信组网技术</w:t>
            </w:r>
          </w:p>
        </w:tc>
        <w:tc>
          <w:tcPr>
            <w:tcW w:w="2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EFE0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中国电子科技集团公司信息科学研究院</w:t>
            </w:r>
          </w:p>
        </w:tc>
      </w:tr>
      <w:tr w14:paraId="26522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5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CBAD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eastAsia" w:eastAsia="仿宋_GB2312" w:cs="Times New Roman"/>
                <w:i w:val="0"/>
                <w:iCs w:val="0"/>
                <w:color w:val="000000"/>
                <w:sz w:val="24"/>
                <w:szCs w:val="24"/>
                <w:u w:val="none"/>
                <w:lang w:val="en-US" w:eastAsia="zh-CN"/>
              </w:rPr>
              <w:t>9</w:t>
            </w:r>
          </w:p>
        </w:tc>
        <w:tc>
          <w:tcPr>
            <w:tcW w:w="2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1DC49">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基于天基图像与众源数据的细粒度目标认知增强技术</w:t>
            </w:r>
          </w:p>
        </w:tc>
        <w:tc>
          <w:tcPr>
            <w:tcW w:w="2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2453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中国电子科技集团公司信息科学研究院</w:t>
            </w:r>
          </w:p>
        </w:tc>
      </w:tr>
      <w:tr w14:paraId="62FF6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5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9CB2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eastAsia" w:eastAsia="仿宋_GB2312" w:cs="Times New Roman"/>
                <w:i w:val="0"/>
                <w:iCs w:val="0"/>
                <w:color w:val="000000"/>
                <w:sz w:val="24"/>
                <w:szCs w:val="24"/>
                <w:u w:val="none"/>
                <w:lang w:val="en-US" w:eastAsia="zh-CN"/>
              </w:rPr>
              <w:t>10</w:t>
            </w:r>
          </w:p>
        </w:tc>
        <w:tc>
          <w:tcPr>
            <w:tcW w:w="2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BEF67">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基于作业人员认知及行为融合的交互意图预测及智能推理模型</w:t>
            </w:r>
          </w:p>
        </w:tc>
        <w:tc>
          <w:tcPr>
            <w:tcW w:w="2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AC7D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中国船舶集团有限公司</w:t>
            </w:r>
          </w:p>
          <w:p w14:paraId="6D2099F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综合技术经济研究院</w:t>
            </w:r>
          </w:p>
        </w:tc>
      </w:tr>
      <w:tr w14:paraId="78173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5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F9DD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eastAsia" w:eastAsia="仿宋_GB2312" w:cs="Times New Roman"/>
                <w:i w:val="0"/>
                <w:iCs w:val="0"/>
                <w:color w:val="000000"/>
                <w:sz w:val="24"/>
                <w:szCs w:val="24"/>
                <w:u w:val="none"/>
                <w:lang w:val="en-US" w:eastAsia="zh-CN"/>
              </w:rPr>
              <w:t>11</w:t>
            </w:r>
          </w:p>
        </w:tc>
        <w:tc>
          <w:tcPr>
            <w:tcW w:w="2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8832C">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w w:val="95"/>
                <w:kern w:val="0"/>
                <w:sz w:val="24"/>
                <w:szCs w:val="24"/>
                <w:u w:val="none"/>
                <w:lang w:val="en-US" w:eastAsia="zh-CN" w:bidi="ar"/>
              </w:rPr>
              <w:t>主食产品血糖调控健康解决方案：全谷物与植物蛋白协同技术及产品开发</w:t>
            </w:r>
          </w:p>
        </w:tc>
        <w:tc>
          <w:tcPr>
            <w:tcW w:w="2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A930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中粮营养健康研究院有限公司</w:t>
            </w:r>
          </w:p>
        </w:tc>
      </w:tr>
      <w:tr w14:paraId="60EC4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5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2342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eastAsia" w:eastAsia="仿宋_GB2312" w:cs="Times New Roman"/>
                <w:i w:val="0"/>
                <w:iCs w:val="0"/>
                <w:color w:val="000000"/>
                <w:sz w:val="24"/>
                <w:szCs w:val="24"/>
                <w:u w:val="none"/>
                <w:lang w:val="en-US" w:eastAsia="zh-CN"/>
              </w:rPr>
              <w:t>12</w:t>
            </w:r>
          </w:p>
        </w:tc>
        <w:tc>
          <w:tcPr>
            <w:tcW w:w="2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A085D">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基于多模态大模型的工程数字图纸智能管理系统</w:t>
            </w:r>
          </w:p>
        </w:tc>
        <w:tc>
          <w:tcPr>
            <w:tcW w:w="2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3973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北京航天斯达科技有限公司</w:t>
            </w:r>
          </w:p>
        </w:tc>
      </w:tr>
      <w:tr w14:paraId="4CAE3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5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CBCD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eastAsia" w:eastAsia="仿宋_GB2312" w:cs="Times New Roman"/>
                <w:i w:val="0"/>
                <w:iCs w:val="0"/>
                <w:color w:val="000000"/>
                <w:sz w:val="24"/>
                <w:szCs w:val="24"/>
                <w:u w:val="none"/>
                <w:lang w:val="en-US" w:eastAsia="zh-CN"/>
              </w:rPr>
              <w:t>13</w:t>
            </w:r>
          </w:p>
        </w:tc>
        <w:tc>
          <w:tcPr>
            <w:tcW w:w="2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B2A6D">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面向我国边疆地区的国产商业卫星遥感智能解译基础模型</w:t>
            </w:r>
          </w:p>
        </w:tc>
        <w:tc>
          <w:tcPr>
            <w:tcW w:w="2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E4D2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北京航天世景信息技术有限公司</w:t>
            </w:r>
          </w:p>
        </w:tc>
      </w:tr>
      <w:tr w14:paraId="38CC1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5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F7FF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eastAsia" w:eastAsia="仿宋_GB2312" w:cs="Times New Roman"/>
                <w:i w:val="0"/>
                <w:iCs w:val="0"/>
                <w:color w:val="000000"/>
                <w:sz w:val="24"/>
                <w:szCs w:val="24"/>
                <w:u w:val="none"/>
                <w:lang w:val="en-US" w:eastAsia="zh-CN"/>
              </w:rPr>
              <w:t>14</w:t>
            </w:r>
          </w:p>
        </w:tc>
        <w:tc>
          <w:tcPr>
            <w:tcW w:w="2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2767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多尺度地貌监测系统设计</w:t>
            </w:r>
          </w:p>
        </w:tc>
        <w:tc>
          <w:tcPr>
            <w:tcW w:w="2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57C7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北京国天事业气象科技有限公司</w:t>
            </w:r>
          </w:p>
        </w:tc>
      </w:tr>
      <w:tr w14:paraId="1A32D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5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0AA0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eastAsia" w:eastAsia="仿宋_GB2312" w:cs="Times New Roman"/>
                <w:i w:val="0"/>
                <w:iCs w:val="0"/>
                <w:color w:val="000000"/>
                <w:sz w:val="24"/>
                <w:szCs w:val="24"/>
                <w:u w:val="none"/>
                <w:lang w:val="en-US" w:eastAsia="zh-CN"/>
              </w:rPr>
              <w:t>15</w:t>
            </w:r>
          </w:p>
        </w:tc>
        <w:tc>
          <w:tcPr>
            <w:tcW w:w="2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07926">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基于AI图像识别的整车物流装载合规性智能检测解决方案</w:t>
            </w:r>
          </w:p>
        </w:tc>
        <w:tc>
          <w:tcPr>
            <w:tcW w:w="2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DA85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中都数科供应链管理有限公司</w:t>
            </w:r>
          </w:p>
        </w:tc>
      </w:tr>
      <w:tr w14:paraId="7CB69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5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EDC0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eastAsia" w:eastAsia="仿宋_GB2312" w:cs="Times New Roman"/>
                <w:i w:val="0"/>
                <w:iCs w:val="0"/>
                <w:color w:val="000000"/>
                <w:sz w:val="24"/>
                <w:szCs w:val="24"/>
                <w:highlight w:val="none"/>
                <w:u w:val="none"/>
                <w:lang w:val="en-US" w:eastAsia="zh-CN"/>
              </w:rPr>
              <w:t>16</w:t>
            </w:r>
          </w:p>
        </w:tc>
        <w:tc>
          <w:tcPr>
            <w:tcW w:w="2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35A5D">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大模型驱动的无线网络覆盖预测</w:t>
            </w:r>
          </w:p>
        </w:tc>
        <w:tc>
          <w:tcPr>
            <w:tcW w:w="2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A70E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中讯邮电咨询设计院有限公司</w:t>
            </w:r>
          </w:p>
        </w:tc>
      </w:tr>
      <w:tr w14:paraId="69979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5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04CA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eastAsia" w:eastAsia="仿宋_GB2312" w:cs="Times New Roman"/>
                <w:i w:val="0"/>
                <w:iCs w:val="0"/>
                <w:color w:val="000000"/>
                <w:sz w:val="24"/>
                <w:szCs w:val="24"/>
                <w:u w:val="none"/>
                <w:lang w:val="en-US" w:eastAsia="zh-CN"/>
              </w:rPr>
              <w:t>17</w:t>
            </w:r>
          </w:p>
        </w:tc>
        <w:tc>
          <w:tcPr>
            <w:tcW w:w="2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66E20">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智能化医疗影像解析系统设计</w:t>
            </w:r>
          </w:p>
        </w:tc>
        <w:tc>
          <w:tcPr>
            <w:tcW w:w="2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8612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北京美联同创医学检验实验室</w:t>
            </w:r>
          </w:p>
          <w:p w14:paraId="5D55DD7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有限公司</w:t>
            </w:r>
          </w:p>
        </w:tc>
      </w:tr>
      <w:tr w14:paraId="11CB8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5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F9E2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eastAsia" w:eastAsia="仿宋_GB2312" w:cs="Times New Roman"/>
                <w:i w:val="0"/>
                <w:iCs w:val="0"/>
                <w:color w:val="000000"/>
                <w:sz w:val="24"/>
                <w:szCs w:val="24"/>
                <w:u w:val="none"/>
                <w:lang w:val="en-US" w:eastAsia="zh-CN"/>
              </w:rPr>
              <w:t>18</w:t>
            </w:r>
          </w:p>
        </w:tc>
        <w:tc>
          <w:tcPr>
            <w:tcW w:w="2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19E2C">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highlight w:val="none"/>
                <w:u w:val="none"/>
                <w:lang w:val="en-US" w:eastAsia="zh-CN" w:bidi="ar"/>
              </w:rPr>
              <w:t>面向无人驾驶的交警手势识别系统</w:t>
            </w:r>
          </w:p>
        </w:tc>
        <w:tc>
          <w:tcPr>
            <w:tcW w:w="2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C46A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北京洛必德科技有限公司</w:t>
            </w:r>
          </w:p>
        </w:tc>
      </w:tr>
      <w:tr w14:paraId="1118C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5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1F9E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eastAsia" w:eastAsia="仿宋_GB2312" w:cs="Times New Roman"/>
                <w:i w:val="0"/>
                <w:iCs w:val="0"/>
                <w:color w:val="000000"/>
                <w:sz w:val="24"/>
                <w:szCs w:val="24"/>
                <w:u w:val="none"/>
                <w:lang w:val="en-US" w:eastAsia="zh-CN"/>
              </w:rPr>
              <w:t>19</w:t>
            </w:r>
          </w:p>
        </w:tc>
        <w:tc>
          <w:tcPr>
            <w:tcW w:w="2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6A5CA">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“稳链护航”提升聚烯烃产业链韧性的金融创新解决方案</w:t>
            </w:r>
          </w:p>
        </w:tc>
        <w:tc>
          <w:tcPr>
            <w:tcW w:w="2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3834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四联创业集团股份有限公司</w:t>
            </w:r>
          </w:p>
        </w:tc>
      </w:tr>
      <w:tr w14:paraId="3C266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5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0CE9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eastAsia" w:eastAsia="仿宋_GB2312" w:cs="Times New Roman"/>
                <w:i w:val="0"/>
                <w:iCs w:val="0"/>
                <w:color w:val="000000"/>
                <w:sz w:val="24"/>
                <w:szCs w:val="24"/>
                <w:u w:val="none"/>
                <w:lang w:val="en-US" w:eastAsia="zh-CN"/>
              </w:rPr>
              <w:t>20</w:t>
            </w:r>
          </w:p>
        </w:tc>
        <w:tc>
          <w:tcPr>
            <w:tcW w:w="2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BEC0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高校-央企-地方政府三方协同创新推动科技成果转化的机制构建与路径研究</w:t>
            </w:r>
          </w:p>
        </w:tc>
        <w:tc>
          <w:tcPr>
            <w:tcW w:w="2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74F4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未来科学城管理委员会</w:t>
            </w:r>
          </w:p>
        </w:tc>
      </w:tr>
      <w:tr w14:paraId="75E39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5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0BB1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eastAsia" w:eastAsia="仿宋_GB2312" w:cs="Times New Roman"/>
                <w:i w:val="0"/>
                <w:iCs w:val="0"/>
                <w:color w:val="000000"/>
                <w:sz w:val="24"/>
                <w:szCs w:val="24"/>
                <w:u w:val="none"/>
                <w:lang w:val="en-US" w:eastAsia="zh-CN"/>
              </w:rPr>
              <w:t>21</w:t>
            </w:r>
          </w:p>
        </w:tc>
        <w:tc>
          <w:tcPr>
            <w:tcW w:w="2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FED94">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智能化电网故障检测系统设计</w:t>
            </w:r>
          </w:p>
        </w:tc>
        <w:tc>
          <w:tcPr>
            <w:tcW w:w="2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DD1B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昌平区发明协会</w:t>
            </w:r>
          </w:p>
        </w:tc>
      </w:tr>
      <w:tr w14:paraId="154F4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trPr>
        <w:tc>
          <w:tcPr>
            <w:tcW w:w="5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7838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eastAsia" w:eastAsia="仿宋_GB2312" w:cs="Times New Roman"/>
                <w:i w:val="0"/>
                <w:iCs w:val="0"/>
                <w:color w:val="000000"/>
                <w:sz w:val="24"/>
                <w:szCs w:val="24"/>
                <w:u w:val="none"/>
                <w:lang w:val="en-US" w:eastAsia="zh-CN"/>
              </w:rPr>
              <w:t>22</w:t>
            </w:r>
          </w:p>
        </w:tc>
        <w:tc>
          <w:tcPr>
            <w:tcW w:w="2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8A232">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人工智能OPC新青年</w:t>
            </w:r>
            <w:r>
              <w:rPr>
                <w:rFonts w:ascii="MS Gothic" w:hAnsi="MS Gothic" w:eastAsia="MS Gothic" w:cs="MS Gothic"/>
                <w:i w:val="0"/>
                <w:iCs w:val="0"/>
                <w:color w:val="000000"/>
                <w:kern w:val="0"/>
                <w:sz w:val="24"/>
                <w:szCs w:val="24"/>
                <w:u w:val="none"/>
                <w:lang w:val="en-US" w:eastAsia="zh-CN" w:bidi="ar"/>
              </w:rPr>
              <w:t>・</w:t>
            </w:r>
            <w:r>
              <w:rPr>
                <w:rFonts w:hint="eastAsia" w:ascii="仿宋_GB2312" w:hAnsi="宋体" w:eastAsia="仿宋_GB2312" w:cs="仿宋_GB2312"/>
                <w:i w:val="0"/>
                <w:iCs w:val="0"/>
                <w:color w:val="000000"/>
                <w:kern w:val="0"/>
                <w:sz w:val="24"/>
                <w:szCs w:val="24"/>
                <w:u w:val="none"/>
                <w:lang w:val="en-US" w:eastAsia="zh-CN" w:bidi="ar"/>
              </w:rPr>
              <w:t>青年飞谷项目</w:t>
            </w:r>
          </w:p>
        </w:tc>
        <w:tc>
          <w:tcPr>
            <w:tcW w:w="2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2DD8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共青团北京市平谷区委员会</w:t>
            </w:r>
          </w:p>
          <w:p w14:paraId="65070D2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钨丝邦（北京）科技服务有限公司</w:t>
            </w:r>
          </w:p>
        </w:tc>
      </w:tr>
    </w:tbl>
    <w:p w14:paraId="4BB36108">
      <w:pPr>
        <w:keepNext w:val="0"/>
        <w:keepLines w:val="0"/>
        <w:pageBreakBefore w:val="0"/>
        <w:widowControl w:val="0"/>
        <w:kinsoku/>
        <w:wordWrap w:val="0"/>
        <w:topLinePunct w:val="0"/>
        <w:autoSpaceDE/>
        <w:autoSpaceDN/>
        <w:bidi w:val="0"/>
        <w:adjustRightInd/>
        <w:snapToGrid/>
        <w:rPr>
          <w:rFonts w:hint="eastAsia" w:eastAsia="仿宋_GB2312"/>
          <w:lang w:val="en-US"/>
        </w:rPr>
      </w:pPr>
      <w:r>
        <w:rPr>
          <w:rFonts w:hint="eastAsia" w:ascii="仿宋_GB2312" w:hAnsi="Times New Roman" w:eastAsia="仿宋_GB2312" w:cs="Times New Roman"/>
          <w:bCs/>
          <w:color w:val="auto"/>
          <w:sz w:val="32"/>
          <w:szCs w:val="32"/>
          <w:lang w:val="en-US"/>
        </w:rPr>
        <w:br w:type="page"/>
      </w:r>
    </w:p>
    <w:p w14:paraId="7BBFDB19">
      <w:pPr>
        <w:keepNext w:val="0"/>
        <w:keepLines w:val="0"/>
        <w:pageBreakBefore w:val="0"/>
        <w:widowControl w:val="0"/>
        <w:tabs>
          <w:tab w:val="left" w:pos="8640"/>
        </w:tabs>
        <w:kinsoku/>
        <w:wordWrap w:val="0"/>
        <w:topLinePunct w:val="0"/>
        <w:autoSpaceDE/>
        <w:autoSpaceDN/>
        <w:bidi w:val="0"/>
        <w:adjustRightInd w:val="0"/>
        <w:snapToGrid w:val="0"/>
        <w:spacing w:line="560" w:lineRule="exact"/>
        <w:jc w:val="center"/>
        <w:rPr>
          <w:rFonts w:hint="eastAsia" w:ascii="Times New Roman" w:hAnsi="Times New Roman" w:eastAsia="方正小标宋简体" w:cs="方正小标宋简体"/>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“青智未来”新质生产力专项赛</w:t>
      </w:r>
    </w:p>
    <w:p w14:paraId="265DF2F4">
      <w:pPr>
        <w:keepNext w:val="0"/>
        <w:keepLines w:val="0"/>
        <w:pageBreakBefore w:val="0"/>
        <w:widowControl w:val="0"/>
        <w:tabs>
          <w:tab w:val="left" w:pos="8640"/>
        </w:tabs>
        <w:kinsoku/>
        <w:wordWrap w:val="0"/>
        <w:topLinePunct w:val="0"/>
        <w:autoSpaceDE/>
        <w:autoSpaceDN/>
        <w:bidi w:val="0"/>
        <w:adjustRightInd w:val="0"/>
        <w:snapToGrid w:val="0"/>
        <w:spacing w:line="560" w:lineRule="exact"/>
        <w:jc w:val="center"/>
        <w:rPr>
          <w:rFonts w:hint="eastAsia" w:ascii="Times New Roman" w:hAnsi="Times New Roman" w:eastAsia="方正小标宋简体" w:cs="Times New Roman"/>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—01</w:t>
      </w:r>
    </w:p>
    <w:p w14:paraId="19C369B2">
      <w:pPr>
        <w:keepNext w:val="0"/>
        <w:keepLines w:val="0"/>
        <w:pageBreakBefore w:val="0"/>
        <w:widowControl w:val="0"/>
        <w:tabs>
          <w:tab w:val="left" w:pos="8640"/>
        </w:tabs>
        <w:kinsoku/>
        <w:wordWrap w:val="0"/>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b w:val="0"/>
          <w:bCs/>
          <w:kern w:val="2"/>
          <w:sz w:val="32"/>
          <w:szCs w:val="22"/>
          <w:highlight w:val="none"/>
          <w:lang w:val="en-US" w:eastAsia="zh-CN"/>
        </w:rPr>
      </w:pPr>
    </w:p>
    <w:p w14:paraId="777DBE02">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一、单位信息</w:t>
      </w:r>
    </w:p>
    <w:tbl>
      <w:tblPr>
        <w:tblStyle w:val="11"/>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7728E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773E2FC4">
            <w:pPr>
              <w:keepNext w:val="0"/>
              <w:keepLines w:val="0"/>
              <w:pageBreakBefore w:val="0"/>
              <w:widowControl w:val="0"/>
              <w:kinsoku/>
              <w:wordWrap w:val="0"/>
              <w:topLinePunct w:val="0"/>
              <w:autoSpaceDE/>
              <w:autoSpaceDN/>
              <w:bidi w:val="0"/>
              <w:adjustRightInd w:val="0"/>
              <w:snapToGrid/>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单位名称</w:t>
            </w:r>
          </w:p>
        </w:tc>
        <w:tc>
          <w:tcPr>
            <w:tcW w:w="6932" w:type="dxa"/>
            <w:gridSpan w:val="3"/>
            <w:vAlign w:val="center"/>
          </w:tcPr>
          <w:p w14:paraId="5959EC9A">
            <w:pPr>
              <w:widowControl w:val="0"/>
              <w:adjustRightInd w:val="0"/>
              <w:snapToGrid w:val="0"/>
              <w:ind w:left="0" w:leftChars="0" w:right="0" w:rightChars="0" w:firstLine="0" w:firstLineChars="0"/>
              <w:jc w:val="center"/>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应急管理部国家自然灾害防治研究院</w:t>
            </w:r>
          </w:p>
        </w:tc>
      </w:tr>
      <w:tr w14:paraId="57346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272B8B09">
            <w:pPr>
              <w:keepNext w:val="0"/>
              <w:keepLines w:val="0"/>
              <w:pageBreakBefore w:val="0"/>
              <w:widowControl w:val="0"/>
              <w:kinsoku/>
              <w:wordWrap w:val="0"/>
              <w:topLinePunct w:val="0"/>
              <w:autoSpaceDE/>
              <w:autoSpaceDN/>
              <w:bidi w:val="0"/>
              <w:adjustRightInd w:val="0"/>
              <w:snapToGrid/>
              <w:spacing w:line="560" w:lineRule="exact"/>
              <w:jc w:val="center"/>
              <w:rPr>
                <w:rFonts w:hint="eastAsia" w:ascii="楷体_GB2312" w:hAnsi="楷体_GB2312" w:eastAsia="楷体_GB2312" w:cs="楷体_GB2312"/>
                <w:color w:val="auto"/>
                <w:sz w:val="28"/>
                <w:szCs w:val="32"/>
                <w:lang w:val="en-US"/>
              </w:rPr>
            </w:pPr>
            <w:r>
              <w:rPr>
                <w:rFonts w:hint="eastAsia" w:ascii="楷体_GB2312" w:hAnsi="楷体_GB2312" w:eastAsia="楷体_GB2312" w:cs="楷体_GB2312"/>
                <w:color w:val="auto"/>
                <w:sz w:val="28"/>
                <w:szCs w:val="32"/>
                <w:lang w:val="en-US"/>
              </w:rPr>
              <w:t>单位类型</w:t>
            </w:r>
          </w:p>
        </w:tc>
        <w:tc>
          <w:tcPr>
            <w:tcW w:w="6932" w:type="dxa"/>
            <w:gridSpan w:val="3"/>
            <w:vAlign w:val="center"/>
          </w:tcPr>
          <w:p w14:paraId="6698B19F">
            <w:pPr>
              <w:widowControl w:val="0"/>
              <w:adjustRightInd w:val="0"/>
              <w:snapToGrid w:val="0"/>
              <w:ind w:left="0" w:leftChars="0" w:right="0" w:rightChars="0" w:firstLine="0" w:firstLineChars="0"/>
              <w:jc w:val="center"/>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科研机构</w:t>
            </w:r>
          </w:p>
        </w:tc>
      </w:tr>
      <w:tr w14:paraId="4B66D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31F5DC14">
            <w:pPr>
              <w:keepNext w:val="0"/>
              <w:keepLines w:val="0"/>
              <w:pageBreakBefore w:val="0"/>
              <w:widowControl w:val="0"/>
              <w:kinsoku/>
              <w:wordWrap w:val="0"/>
              <w:topLinePunct w:val="0"/>
              <w:autoSpaceDE/>
              <w:autoSpaceDN/>
              <w:bidi w:val="0"/>
              <w:adjustRightInd w:val="0"/>
              <w:snapToGrid/>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地址</w:t>
            </w:r>
          </w:p>
        </w:tc>
        <w:tc>
          <w:tcPr>
            <w:tcW w:w="6932" w:type="dxa"/>
            <w:gridSpan w:val="3"/>
            <w:vAlign w:val="center"/>
          </w:tcPr>
          <w:p w14:paraId="4782BBA4">
            <w:pPr>
              <w:widowControl w:val="0"/>
              <w:adjustRightInd w:val="0"/>
              <w:snapToGrid w:val="0"/>
              <w:ind w:left="0" w:leftChars="0" w:right="0" w:rightChars="0" w:firstLine="0" w:firstLineChars="0"/>
              <w:jc w:val="center"/>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北京市海淀区安宁庄路1号</w:t>
            </w:r>
          </w:p>
        </w:tc>
      </w:tr>
      <w:tr w14:paraId="1F2A3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465CCF71">
            <w:pPr>
              <w:keepNext w:val="0"/>
              <w:keepLines w:val="0"/>
              <w:pageBreakBefore w:val="0"/>
              <w:widowControl w:val="0"/>
              <w:kinsoku/>
              <w:wordWrap w:val="0"/>
              <w:topLinePunct w:val="0"/>
              <w:autoSpaceDE/>
              <w:autoSpaceDN/>
              <w:bidi w:val="0"/>
              <w:adjustRightInd w:val="0"/>
              <w:snapToGrid/>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lang w:val="en-US"/>
              </w:rPr>
              <w:t>单位</w:t>
            </w:r>
            <w:r>
              <w:rPr>
                <w:rFonts w:hint="eastAsia" w:ascii="楷体_GB2312" w:hAnsi="楷体_GB2312" w:eastAsia="楷体_GB2312" w:cs="楷体_GB2312"/>
                <w:color w:val="auto"/>
                <w:sz w:val="28"/>
                <w:szCs w:val="32"/>
              </w:rPr>
              <w:t>简介</w:t>
            </w:r>
          </w:p>
        </w:tc>
        <w:tc>
          <w:tcPr>
            <w:tcW w:w="6932" w:type="dxa"/>
            <w:gridSpan w:val="3"/>
            <w:vAlign w:val="center"/>
          </w:tcPr>
          <w:p w14:paraId="73E5DDA0">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应急管理部国家自然灾害防治研究院（以下简称“国家灾研院”）是按照《中央编办关于更名组建应急部国家自然灾害防治研究院的批复》（中央编办复字〔2019〕158号），由中国地震局地壳应力研究所划入应急管理部更名组建而成，为应急管理部与中国科学院联合共建的国家级自然灾害综合性防治科研机构和应急管理科技创新、技术支撑平台，公益二类科研事业单位，2019年12月30日正式挂牌，主要承担自然灾害防治重大政策、基础理论、关键技术、重要装备研究，以及科技成果转化和应用示范等工作。国家灾研院面向国际防灾减灾救灾科技前沿，面向国家自然灾害防治重大战略部署，立足我国自然灾害综合减灾实战需求，打造国内一流、国际先进的自然灾害防治科研平台。</w:t>
            </w:r>
          </w:p>
          <w:p w14:paraId="41BBCEB6">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灾研院是我国地球物理场卫星首发星张衡一号卫星的主用户，负责应用系统建设工作，目前拥有张衡一号01星、02星两颗在轨卫星，在电磁卫星数据定标校验、质量评估及多领域科学应用方面有深厚的技术积累和丰富的实践经验。</w:t>
            </w:r>
          </w:p>
        </w:tc>
      </w:tr>
      <w:tr w14:paraId="79EF3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017FBB7E">
            <w:pPr>
              <w:keepNext w:val="0"/>
              <w:keepLines w:val="0"/>
              <w:pageBreakBefore w:val="0"/>
              <w:widowControl w:val="0"/>
              <w:kinsoku/>
              <w:wordWrap w:val="0"/>
              <w:topLinePunct w:val="0"/>
              <w:autoSpaceDE/>
              <w:autoSpaceDN/>
              <w:bidi w:val="0"/>
              <w:adjustRightInd w:val="0"/>
              <w:snapToGrid/>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lang w:val="en-US"/>
              </w:rPr>
              <w:t>联系人</w:t>
            </w:r>
          </w:p>
        </w:tc>
        <w:tc>
          <w:tcPr>
            <w:tcW w:w="3076" w:type="dxa"/>
            <w:vAlign w:val="center"/>
          </w:tcPr>
          <w:p w14:paraId="32C78E66">
            <w:pPr>
              <w:widowControl w:val="0"/>
              <w:adjustRightInd w:val="0"/>
              <w:snapToGrid w:val="0"/>
              <w:ind w:left="0" w:leftChars="0" w:right="0" w:rightChars="0" w:firstLine="0" w:firstLineChars="0"/>
              <w:jc w:val="center"/>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泽仁志玛</w:t>
            </w:r>
          </w:p>
        </w:tc>
        <w:tc>
          <w:tcPr>
            <w:tcW w:w="1073" w:type="dxa"/>
            <w:vAlign w:val="center"/>
          </w:tcPr>
          <w:p w14:paraId="4AED57BF">
            <w:pPr>
              <w:keepNext w:val="0"/>
              <w:keepLines w:val="0"/>
              <w:pageBreakBefore w:val="0"/>
              <w:widowControl w:val="0"/>
              <w:kinsoku/>
              <w:wordWrap w:val="0"/>
              <w:topLinePunct w:val="0"/>
              <w:autoSpaceDE/>
              <w:autoSpaceDN/>
              <w:bidi w:val="0"/>
              <w:adjustRightInd w:val="0"/>
              <w:snapToGrid/>
              <w:spacing w:line="560" w:lineRule="exact"/>
              <w:jc w:val="center"/>
              <w:rPr>
                <w:rFonts w:hint="eastAsia" w:ascii="楷体_GB2312" w:hAnsi="楷体_GB2312" w:eastAsia="楷体_GB2312" w:cs="楷体_GB2312"/>
                <w:color w:val="auto"/>
                <w:sz w:val="28"/>
                <w:szCs w:val="32"/>
                <w:lang w:val="en-US"/>
              </w:rPr>
            </w:pPr>
            <w:r>
              <w:rPr>
                <w:rFonts w:hint="eastAsia" w:ascii="楷体_GB2312" w:hAnsi="楷体_GB2312" w:eastAsia="楷体_GB2312" w:cs="楷体_GB2312"/>
                <w:color w:val="auto"/>
                <w:sz w:val="28"/>
                <w:szCs w:val="32"/>
                <w:lang w:val="en-US"/>
              </w:rPr>
              <w:t>职务</w:t>
            </w:r>
          </w:p>
        </w:tc>
        <w:tc>
          <w:tcPr>
            <w:tcW w:w="2783" w:type="dxa"/>
            <w:vAlign w:val="center"/>
          </w:tcPr>
          <w:p w14:paraId="47F95E0E">
            <w:pPr>
              <w:widowControl w:val="0"/>
              <w:adjustRightInd w:val="0"/>
              <w:snapToGrid w:val="0"/>
              <w:ind w:left="0" w:leftChars="0" w:right="0" w:rightChars="0" w:firstLine="0" w:firstLineChars="0"/>
              <w:jc w:val="center"/>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空间信息研究中心主任/张衡一号卫星首席科学家</w:t>
            </w:r>
          </w:p>
        </w:tc>
      </w:tr>
      <w:tr w14:paraId="2EC4B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09E5DA0E">
            <w:pPr>
              <w:keepNext w:val="0"/>
              <w:keepLines w:val="0"/>
              <w:pageBreakBefore w:val="0"/>
              <w:widowControl w:val="0"/>
              <w:kinsoku/>
              <w:wordWrap w:val="0"/>
              <w:topLinePunct w:val="0"/>
              <w:autoSpaceDE/>
              <w:autoSpaceDN/>
              <w:bidi w:val="0"/>
              <w:adjustRightInd w:val="0"/>
              <w:snapToGrid/>
              <w:spacing w:line="560" w:lineRule="exact"/>
              <w:jc w:val="center"/>
              <w:rPr>
                <w:rFonts w:hint="eastAsia" w:ascii="楷体_GB2312" w:hAnsi="楷体_GB2312" w:eastAsia="楷体_GB2312" w:cs="楷体_GB2312"/>
                <w:color w:val="auto"/>
                <w:sz w:val="28"/>
                <w:szCs w:val="32"/>
                <w:lang w:val="en-US"/>
              </w:rPr>
            </w:pPr>
            <w:r>
              <w:rPr>
                <w:rFonts w:hint="eastAsia" w:ascii="楷体_GB2312" w:hAnsi="楷体_GB2312" w:eastAsia="楷体_GB2312" w:cs="楷体_GB2312"/>
                <w:color w:val="auto"/>
                <w:sz w:val="28"/>
                <w:szCs w:val="32"/>
                <w:lang w:val="en-US"/>
              </w:rPr>
              <w:t>联系方式</w:t>
            </w:r>
          </w:p>
        </w:tc>
        <w:tc>
          <w:tcPr>
            <w:tcW w:w="3076" w:type="dxa"/>
            <w:vAlign w:val="center"/>
          </w:tcPr>
          <w:p w14:paraId="5A59EC84">
            <w:pPr>
              <w:widowControl w:val="0"/>
              <w:adjustRightInd w:val="0"/>
              <w:snapToGrid w:val="0"/>
              <w:ind w:left="0" w:leftChars="0" w:right="0" w:rightChars="0" w:firstLine="0" w:firstLineChars="0"/>
              <w:jc w:val="center"/>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13683548046</w:t>
            </w:r>
          </w:p>
        </w:tc>
        <w:tc>
          <w:tcPr>
            <w:tcW w:w="1073" w:type="dxa"/>
            <w:vAlign w:val="center"/>
          </w:tcPr>
          <w:p w14:paraId="6C9B004D">
            <w:pPr>
              <w:keepNext w:val="0"/>
              <w:keepLines w:val="0"/>
              <w:pageBreakBefore w:val="0"/>
              <w:widowControl w:val="0"/>
              <w:kinsoku/>
              <w:wordWrap w:val="0"/>
              <w:topLinePunct w:val="0"/>
              <w:autoSpaceDE/>
              <w:autoSpaceDN/>
              <w:bidi w:val="0"/>
              <w:adjustRightInd w:val="0"/>
              <w:snapToGrid/>
              <w:spacing w:line="560" w:lineRule="exact"/>
              <w:jc w:val="center"/>
              <w:rPr>
                <w:rFonts w:hint="eastAsia" w:ascii="楷体_GB2312" w:hAnsi="楷体_GB2312" w:eastAsia="楷体_GB2312" w:cs="楷体_GB2312"/>
                <w:color w:val="auto"/>
                <w:sz w:val="28"/>
                <w:szCs w:val="32"/>
                <w:lang w:val="en-US"/>
              </w:rPr>
            </w:pPr>
            <w:r>
              <w:rPr>
                <w:rFonts w:hint="eastAsia" w:ascii="楷体_GB2312" w:hAnsi="楷体_GB2312" w:eastAsia="楷体_GB2312" w:cs="楷体_GB2312"/>
                <w:color w:val="auto"/>
                <w:sz w:val="28"/>
                <w:szCs w:val="32"/>
                <w:lang w:val="en-US"/>
              </w:rPr>
              <w:t>微信</w:t>
            </w:r>
          </w:p>
        </w:tc>
        <w:tc>
          <w:tcPr>
            <w:tcW w:w="2783" w:type="dxa"/>
            <w:vAlign w:val="center"/>
          </w:tcPr>
          <w:p w14:paraId="659D8CCE">
            <w:pPr>
              <w:widowControl w:val="0"/>
              <w:adjustRightInd w:val="0"/>
              <w:snapToGrid w:val="0"/>
              <w:ind w:left="0" w:leftChars="0" w:right="0" w:rightChars="0" w:firstLine="0" w:firstLineChars="0"/>
              <w:jc w:val="center"/>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13683548046</w:t>
            </w:r>
          </w:p>
        </w:tc>
      </w:tr>
    </w:tbl>
    <w:p w14:paraId="5B8494DA">
      <w:pPr>
        <w:keepNext w:val="0"/>
        <w:keepLines w:val="0"/>
        <w:pageBreakBefore w:val="0"/>
        <w:widowControl w:val="0"/>
        <w:tabs>
          <w:tab w:val="left" w:pos="8640"/>
        </w:tabs>
        <w:kinsoku/>
        <w:wordWrap w:val="0"/>
        <w:topLinePunct w:val="0"/>
        <w:autoSpaceDE/>
        <w:autoSpaceDN/>
        <w:bidi w:val="0"/>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二、选题说明</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4C56C4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98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E9E8CAE">
            <w:pPr>
              <w:keepNext w:val="0"/>
              <w:keepLines w:val="0"/>
              <w:pageBreakBefore w:val="0"/>
              <w:widowControl w:val="0"/>
              <w:kinsoku/>
              <w:wordWrap w:val="0"/>
              <w:topLinePunct w:val="0"/>
              <w:autoSpaceDE/>
              <w:autoSpaceDN/>
              <w:bidi w:val="0"/>
              <w:adjustRightInd w:val="0"/>
              <w:snapToGrid/>
              <w:spacing w:line="560" w:lineRule="exact"/>
              <w:jc w:val="center"/>
              <w:rPr>
                <w:rFonts w:hint="eastAsia" w:ascii="楷体_GB2312" w:hAnsi="楷体_GB2312" w:eastAsia="楷体_GB2312" w:cs="楷体_GB2312"/>
                <w:color w:val="auto"/>
                <w:sz w:val="28"/>
                <w:szCs w:val="32"/>
                <w:lang w:val="en-US"/>
              </w:rPr>
            </w:pPr>
            <w:r>
              <w:rPr>
                <w:rFonts w:hint="eastAsia" w:ascii="楷体_GB2312" w:hAnsi="楷体_GB2312" w:eastAsia="楷体_GB2312" w:cs="楷体_GB2312"/>
                <w:color w:val="auto"/>
                <w:sz w:val="28"/>
                <w:szCs w:val="32"/>
                <w:lang w:val="en-US"/>
              </w:rPr>
              <w:t>选题题目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DE7E37D">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类地行星感应磁层的离子动力学特性研究</w:t>
            </w:r>
          </w:p>
        </w:tc>
      </w:tr>
      <w:tr w14:paraId="79E658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642"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1E2DE95">
            <w:pPr>
              <w:keepNext w:val="0"/>
              <w:keepLines w:val="0"/>
              <w:pageBreakBefore w:val="0"/>
              <w:widowControl w:val="0"/>
              <w:kinsoku/>
              <w:wordWrap w:val="0"/>
              <w:topLinePunct w:val="0"/>
              <w:autoSpaceDE/>
              <w:autoSpaceDN/>
              <w:bidi w:val="0"/>
              <w:adjustRightInd w:val="0"/>
              <w:snapToGrid/>
              <w:spacing w:line="560" w:lineRule="exact"/>
              <w:jc w:val="center"/>
              <w:rPr>
                <w:rFonts w:hint="eastAsia" w:ascii="楷体_GB2312" w:hAnsi="楷体_GB2312" w:eastAsia="楷体_GB2312" w:cs="楷体_GB2312"/>
                <w:color w:val="auto"/>
                <w:sz w:val="28"/>
                <w:szCs w:val="32"/>
                <w:lang w:val="en-US"/>
              </w:rPr>
            </w:pPr>
            <w:r>
              <w:rPr>
                <w:rFonts w:hint="eastAsia" w:ascii="楷体_GB2312" w:hAnsi="楷体_GB2312" w:eastAsia="楷体_GB2312" w:cs="楷体_GB2312"/>
                <w:color w:val="auto"/>
                <w:sz w:val="28"/>
                <w:szCs w:val="32"/>
                <w:lang w:val="en-US"/>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0421DD1">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空间科学</w:t>
            </w:r>
          </w:p>
        </w:tc>
      </w:tr>
      <w:tr w14:paraId="2C5EF4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5618"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811D7F8">
            <w:pPr>
              <w:keepNext w:val="0"/>
              <w:keepLines w:val="0"/>
              <w:pageBreakBefore w:val="0"/>
              <w:widowControl w:val="0"/>
              <w:kinsoku/>
              <w:wordWrap w:val="0"/>
              <w:topLinePunct w:val="0"/>
              <w:autoSpaceDE/>
              <w:autoSpaceDN/>
              <w:bidi w:val="0"/>
              <w:adjustRightInd w:val="0"/>
              <w:snapToGrid/>
              <w:spacing w:line="560" w:lineRule="exact"/>
              <w:jc w:val="center"/>
              <w:rPr>
                <w:rFonts w:hint="eastAsia" w:ascii="楷体_GB2312" w:hAnsi="楷体_GB2312" w:eastAsia="楷体_GB2312" w:cs="楷体_GB2312"/>
                <w:color w:val="auto"/>
                <w:sz w:val="28"/>
                <w:szCs w:val="32"/>
                <w:lang w:val="en-US"/>
              </w:rPr>
            </w:pPr>
            <w:r>
              <w:rPr>
                <w:rFonts w:hint="eastAsia" w:ascii="楷体_GB2312" w:hAnsi="楷体_GB2312" w:eastAsia="楷体_GB2312" w:cs="楷体_GB2312"/>
                <w:color w:val="auto"/>
                <w:sz w:val="28"/>
                <w:szCs w:val="32"/>
                <w:lang w:val="en-US"/>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F80B89F">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类地行星空间结构的形成机制及其在不同外部驱动条件（如太阳风参数、行星际磁场方向与强度、太阳活动周期等）下的演化特性，是当前行星空间物理领域的重要科学问题。深入理解这些结构的形成与演化过程，不仅有助于揭示地球空间环境的宜居性根源，也为比较行星学提供了关键理论支撑。地球拥有全球性的内禀磁场，在其磁层中形成了复杂的磁场-等离子体相互作用结构；而类地行星（火星和金星）则缺乏全球性磁场，其空间结构主要由太阳风与大气或电离层直接作用形成，体现出显著不同的磁层类型和粒子动力学特征。存在的科学问题包括：</w:t>
            </w:r>
          </w:p>
          <w:p w14:paraId="28377C50">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1.缺乏全球性内禀磁场的类地行星中，感应磁层结构的形成与演化是否具有可比性？</w:t>
            </w:r>
          </w:p>
          <w:p w14:paraId="73A8C6A7">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2.在离子动力学尺度下，类地行星磁层结构对粒子加速、输运与逃逸过程的影响机制是什么？</w:t>
            </w:r>
          </w:p>
          <w:p w14:paraId="6824EA80">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3.在不同太阳风驱动条件下是否类地行星的磁层结构呈现出共性的演化响应规律？</w:t>
            </w:r>
          </w:p>
          <w:p w14:paraId="2449BE12">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因此，通过解答上述科研问题，系统地研究类地行星磁感应磁层中离子动力学效应，将有助于揭示类地行星在缺乏内禀磁场条件下的共性物理机制，为理解地球的独特性与宜居性提供参考。</w:t>
            </w:r>
          </w:p>
          <w:p w14:paraId="3763F357">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p>
        </w:tc>
      </w:tr>
      <w:tr w14:paraId="493462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9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AAB934D">
            <w:pPr>
              <w:keepNext w:val="0"/>
              <w:keepLines w:val="0"/>
              <w:pageBreakBefore w:val="0"/>
              <w:widowControl w:val="0"/>
              <w:kinsoku/>
              <w:wordWrap w:val="0"/>
              <w:topLinePunct w:val="0"/>
              <w:autoSpaceDE/>
              <w:autoSpaceDN/>
              <w:bidi w:val="0"/>
              <w:adjustRightInd w:val="0"/>
              <w:snapToGrid/>
              <w:spacing w:line="560" w:lineRule="exact"/>
              <w:jc w:val="center"/>
              <w:rPr>
                <w:rFonts w:hint="eastAsia" w:ascii="楷体_GB2312" w:hAnsi="楷体_GB2312" w:eastAsia="楷体_GB2312" w:cs="楷体_GB2312"/>
                <w:color w:val="auto"/>
                <w:sz w:val="28"/>
                <w:szCs w:val="32"/>
                <w:lang w:val="en-US"/>
              </w:rPr>
            </w:pPr>
            <w:r>
              <w:rPr>
                <w:rFonts w:hint="eastAsia" w:ascii="楷体_GB2312" w:hAnsi="楷体_GB2312" w:eastAsia="楷体_GB2312" w:cs="楷体_GB2312"/>
                <w:color w:val="auto"/>
                <w:sz w:val="28"/>
                <w:szCs w:val="32"/>
                <w:lang w:val="en-US"/>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B7FE328">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形式：一篇解决上述科研问题的科研论文</w:t>
            </w:r>
          </w:p>
          <w:p w14:paraId="2FFE88C9">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时间：2026年2月1日-5月30日前（在线发表即可）</w:t>
            </w:r>
          </w:p>
          <w:p w14:paraId="61A4BE0E">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要求：参赛选手必须是论文的第一作者</w:t>
            </w:r>
          </w:p>
          <w:p w14:paraId="2ADF585B">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评审标准：以论文发表的SCI期刊为主（分区+影响因子）</w:t>
            </w:r>
          </w:p>
        </w:tc>
      </w:tr>
      <w:tr w14:paraId="668BEB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214"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285FAB">
            <w:pPr>
              <w:keepNext w:val="0"/>
              <w:keepLines w:val="0"/>
              <w:pageBreakBefore w:val="0"/>
              <w:widowControl w:val="0"/>
              <w:kinsoku/>
              <w:wordWrap w:val="0"/>
              <w:topLinePunct w:val="0"/>
              <w:autoSpaceDE/>
              <w:autoSpaceDN/>
              <w:bidi w:val="0"/>
              <w:adjustRightInd w:val="0"/>
              <w:snapToGrid/>
              <w:spacing w:line="560" w:lineRule="exact"/>
              <w:jc w:val="center"/>
              <w:rPr>
                <w:rFonts w:hint="eastAsia" w:ascii="楷体_GB2312" w:hAnsi="楷体_GB2312" w:eastAsia="楷体_GB2312" w:cs="楷体_GB2312"/>
                <w:color w:val="auto"/>
                <w:sz w:val="28"/>
                <w:szCs w:val="32"/>
                <w:lang w:val="en-US"/>
              </w:rPr>
            </w:pPr>
            <w:r>
              <w:rPr>
                <w:rFonts w:hint="eastAsia" w:ascii="楷体_GB2312" w:hAnsi="楷体_GB2312" w:eastAsia="楷体_GB2312" w:cs="楷体_GB2312"/>
                <w:color w:val="auto"/>
                <w:sz w:val="28"/>
                <w:szCs w:val="32"/>
                <w:lang w:val="en-US"/>
              </w:rPr>
              <w:t>作品评审</w:t>
            </w:r>
          </w:p>
          <w:p w14:paraId="3D26BF61">
            <w:pPr>
              <w:keepNext w:val="0"/>
              <w:keepLines w:val="0"/>
              <w:pageBreakBefore w:val="0"/>
              <w:widowControl w:val="0"/>
              <w:kinsoku/>
              <w:wordWrap w:val="0"/>
              <w:topLinePunct w:val="0"/>
              <w:autoSpaceDE/>
              <w:autoSpaceDN/>
              <w:bidi w:val="0"/>
              <w:adjustRightInd w:val="0"/>
              <w:snapToGrid/>
              <w:spacing w:line="560" w:lineRule="exact"/>
              <w:jc w:val="center"/>
              <w:rPr>
                <w:rFonts w:hint="eastAsia" w:ascii="楷体_GB2312" w:hAnsi="楷体_GB2312" w:eastAsia="楷体_GB2312" w:cs="楷体_GB2312"/>
                <w:color w:val="auto"/>
                <w:sz w:val="28"/>
                <w:szCs w:val="32"/>
                <w:lang w:val="en-US"/>
              </w:rPr>
            </w:pPr>
            <w:r>
              <w:rPr>
                <w:rFonts w:hint="eastAsia" w:ascii="楷体_GB2312" w:hAnsi="楷体_GB2312" w:eastAsia="楷体_GB2312" w:cs="楷体_GB2312"/>
                <w:color w:val="auto"/>
                <w:sz w:val="28"/>
                <w:szCs w:val="32"/>
                <w:lang w:val="en-US"/>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CA00D8">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第一维度：成果发表状态</w:t>
            </w:r>
          </w:p>
          <w:p w14:paraId="66F7F3D7">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1.已发表论文：在截止日期前已在线发表或正式见刊的论文。此为最完备状态，将进入核心期刊指标评审。</w:t>
            </w:r>
          </w:p>
          <w:p w14:paraId="636F5C71">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2.已录用待发表论文：需提供期刊官方录用通知及清样稿。此状态可获得基础评价，但竞争力通常低于同级别已发表论文。</w:t>
            </w:r>
          </w:p>
          <w:p w14:paraId="423A3B55">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3.其他状态（如审稿中、拟投稿）：因无法进行有效比对和核实，原则上不纳入评奖范围。</w:t>
            </w:r>
          </w:p>
          <w:p w14:paraId="4F031561">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p>
          <w:p w14:paraId="4457FA7D">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第二维度：期刊学术水平（针对已发表/录用论文）</w:t>
            </w:r>
          </w:p>
          <w:p w14:paraId="45A99292">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以论文所发表期刊的客观指标为核心评判标准，主要考察：</w:t>
            </w:r>
          </w:p>
          <w:p w14:paraId="71EADFAA">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1.期刊分区：优先采用中国科学院文献情报中心期刊分区表（大类或小类），或JCR分区。</w:t>
            </w:r>
          </w:p>
          <w:p w14:paraId="5A936163">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2.期刊影响因子：采用最新发布的期刊影响因子（JCR IF）。</w:t>
            </w:r>
          </w:p>
          <w:p w14:paraId="33399B0E">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（评审委员会将综合以上指标，通常认为发表在高分区、高影响因子期刊上的论文代表更高的学术认可度。）</w:t>
            </w:r>
          </w:p>
        </w:tc>
      </w:tr>
      <w:tr w14:paraId="6BA62F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9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311F6D0">
            <w:pPr>
              <w:keepNext w:val="0"/>
              <w:keepLines w:val="0"/>
              <w:pageBreakBefore w:val="0"/>
              <w:widowControl w:val="0"/>
              <w:kinsoku/>
              <w:wordWrap w:val="0"/>
              <w:topLinePunct w:val="0"/>
              <w:autoSpaceDE/>
              <w:autoSpaceDN/>
              <w:bidi w:val="0"/>
              <w:adjustRightInd w:val="0"/>
              <w:snapToGrid/>
              <w:spacing w:line="560" w:lineRule="exact"/>
              <w:jc w:val="center"/>
              <w:rPr>
                <w:rFonts w:hint="eastAsia" w:ascii="楷体_GB2312" w:hAnsi="楷体_GB2312" w:eastAsia="楷体_GB2312" w:cs="楷体_GB2312"/>
                <w:color w:val="auto"/>
                <w:sz w:val="28"/>
                <w:szCs w:val="32"/>
                <w:lang w:val="en-US"/>
              </w:rPr>
            </w:pPr>
            <w:r>
              <w:rPr>
                <w:rFonts w:hint="eastAsia" w:ascii="楷体_GB2312" w:hAnsi="楷体_GB2312" w:eastAsia="楷体_GB2312" w:cs="楷体_GB2312"/>
                <w:color w:val="auto"/>
                <w:sz w:val="28"/>
                <w:szCs w:val="32"/>
                <w:lang w:val="en-US"/>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BC2A7EC">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无</w:t>
            </w:r>
          </w:p>
        </w:tc>
      </w:tr>
    </w:tbl>
    <w:p w14:paraId="2B6F301B">
      <w:pPr>
        <w:rPr>
          <w:rFonts w:eastAsia="方正黑体简体"/>
          <w:sz w:val="32"/>
          <w:szCs w:val="32"/>
        </w:rPr>
      </w:pPr>
      <w:r>
        <w:rPr>
          <w:rFonts w:hint="eastAsia" w:eastAsia="方正黑体简体"/>
          <w:sz w:val="32"/>
          <w:szCs w:val="32"/>
        </w:rPr>
        <w:t>三、激励保障</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10D69E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414"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AA7EC67">
            <w:pPr>
              <w:keepNext w:val="0"/>
              <w:keepLines w:val="0"/>
              <w:pageBreakBefore w:val="0"/>
              <w:widowControl w:val="0"/>
              <w:kinsoku/>
              <w:wordWrap w:val="0"/>
              <w:topLinePunct w:val="0"/>
              <w:autoSpaceDE/>
              <w:autoSpaceDN/>
              <w:bidi w:val="0"/>
              <w:adjustRightInd w:val="0"/>
              <w:snapToGrid/>
              <w:spacing w:line="560" w:lineRule="exact"/>
              <w:jc w:val="center"/>
              <w:rPr>
                <w:rFonts w:hint="eastAsia" w:ascii="楷体_GB2312" w:hAnsi="楷体_GB2312" w:eastAsia="楷体_GB2312" w:cs="楷体_GB2312"/>
                <w:color w:val="auto"/>
                <w:sz w:val="28"/>
                <w:szCs w:val="32"/>
                <w:lang w:val="en-US"/>
              </w:rPr>
            </w:pPr>
            <w:r>
              <w:rPr>
                <w:rFonts w:hint="eastAsia" w:ascii="楷体_GB2312" w:hAnsi="楷体_GB2312" w:eastAsia="楷体_GB2312" w:cs="楷体_GB2312"/>
                <w:color w:val="auto"/>
                <w:sz w:val="28"/>
                <w:szCs w:val="32"/>
                <w:lang w:val="en-US"/>
              </w:rPr>
              <w:t>保障措施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20525D1">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为助力参赛团队产出高水平成果，本单位将构建“导师-资源-平台”三位一体的支持体系，具体保障如下：</w:t>
            </w:r>
          </w:p>
          <w:p w14:paraId="0D7C5609">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p>
          <w:p w14:paraId="69AD31F0">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一、专业指导团队</w:t>
            </w:r>
          </w:p>
          <w:p w14:paraId="21DB2E7D">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专属指导老师：为每个团队配备1名具有丰富科研经验的资深研究员作为固定导师，提供从选题到投稿的全流程个性化指导。</w:t>
            </w:r>
          </w:p>
          <w:p w14:paraId="70934900">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定期组会制度：导师将每周至少组织1次团队例会，跟踪研究进展，研讨关键问题，并提供持续的专业反馈。</w:t>
            </w:r>
          </w:p>
          <w:p w14:paraId="5D646BCD">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p>
          <w:p w14:paraId="3EA64DC4">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二、科研资源支持</w:t>
            </w:r>
          </w:p>
          <w:p w14:paraId="2A8587CE">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资料与数据支持：开放本单位相关领域的历史项目资料库、学术文献数据库及脱敏研究数据，供团队快速切入课题。</w:t>
            </w:r>
          </w:p>
          <w:p w14:paraId="5FB7B0A4">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论文写作专项辅导：组织举办“科技论文写作与投稿”工作坊，并针对团队初稿提供多轮润色与期刊选择建议。</w:t>
            </w:r>
          </w:p>
          <w:p w14:paraId="7B580B20">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p>
          <w:p w14:paraId="2221B779">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三、时间与制度保障</w:t>
            </w:r>
          </w:p>
          <w:p w14:paraId="43123D88">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落实时间：上述支持将于团队组建完成后立即启动，并持续至竞赛周期结束。</w:t>
            </w:r>
          </w:p>
          <w:p w14:paraId="12176766">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保障措施：指导工作计入导师年度绩效考核；资源使用建立绿色审批通道；定期收集团队反馈以优化支持方案。</w:t>
            </w:r>
          </w:p>
        </w:tc>
      </w:tr>
      <w:tr w14:paraId="48F847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4621"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DADE1E8">
            <w:pPr>
              <w:keepNext w:val="0"/>
              <w:keepLines w:val="0"/>
              <w:pageBreakBefore w:val="0"/>
              <w:widowControl w:val="0"/>
              <w:kinsoku/>
              <w:wordWrap w:val="0"/>
              <w:topLinePunct w:val="0"/>
              <w:autoSpaceDE/>
              <w:autoSpaceDN/>
              <w:bidi w:val="0"/>
              <w:adjustRightInd w:val="0"/>
              <w:snapToGrid/>
              <w:spacing w:line="560" w:lineRule="exact"/>
              <w:jc w:val="center"/>
              <w:rPr>
                <w:rFonts w:hint="eastAsia" w:ascii="楷体_GB2312" w:hAnsi="楷体_GB2312" w:eastAsia="楷体_GB2312" w:cs="楷体_GB2312"/>
                <w:color w:val="auto"/>
                <w:sz w:val="28"/>
                <w:szCs w:val="32"/>
                <w:lang w:val="en-US"/>
              </w:rPr>
            </w:pPr>
            <w:r>
              <w:rPr>
                <w:rFonts w:hint="eastAsia" w:ascii="楷体_GB2312" w:hAnsi="楷体_GB2312" w:eastAsia="楷体_GB2312" w:cs="楷体_GB2312"/>
                <w:color w:val="auto"/>
                <w:sz w:val="28"/>
                <w:szCs w:val="32"/>
                <w:lang w:val="en-US"/>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B95C1CF">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一、 奖项设置</w:t>
            </w:r>
          </w:p>
          <w:p w14:paraId="0796F28F">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原则上设“擂主”团队1个，根据实际情况评出相应的特等奖、一等奖、二等奖、三等奖项目若干。</w:t>
            </w:r>
          </w:p>
          <w:p w14:paraId="3893F1EC">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“擂主”团队将获得最高级别的奖励与后续支持，并进入重点人才培养流程。</w:t>
            </w:r>
          </w:p>
          <w:p w14:paraId="059A8736">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二、激励措施</w:t>
            </w:r>
          </w:p>
          <w:p w14:paraId="18FB25FE">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1.奖金支持</w:t>
            </w:r>
          </w:p>
          <w:p w14:paraId="07E206B8">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给予入选项目相应资金奖励。</w:t>
            </w:r>
          </w:p>
          <w:p w14:paraId="4136AE8D">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2.“擂主”团队专属奖励</w:t>
            </w:r>
          </w:p>
          <w:p w14:paraId="69DAA1F8">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“擂主”团队除奖金外，团队核心成员（限3人）若获得保研资格，可免笔试直接进入本单位保研最终面试环节，考核通过后优先录用。</w:t>
            </w:r>
          </w:p>
        </w:tc>
      </w:tr>
    </w:tbl>
    <w:p w14:paraId="060BA119">
      <w:pPr>
        <w:rPr>
          <w:rFonts w:eastAsia="方正黑体简体"/>
          <w:sz w:val="32"/>
          <w:szCs w:val="32"/>
          <w:lang w:val="en-US"/>
        </w:rPr>
      </w:pPr>
      <w:r>
        <w:rPr>
          <w:rFonts w:hint="eastAsia" w:eastAsia="方正黑体简体"/>
          <w:sz w:val="32"/>
          <w:szCs w:val="32"/>
          <w:lang w:val="en-US"/>
        </w:rPr>
        <w:t>四、选题意义</w:t>
      </w:r>
    </w:p>
    <w:tbl>
      <w:tblPr>
        <w:tblStyle w:val="1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5A5615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3D077132">
            <w:pPr>
              <w:jc w:val="center"/>
              <w:rPr>
                <w:rFonts w:eastAsia="楷体_GB2312"/>
                <w:sz w:val="28"/>
                <w:szCs w:val="28"/>
              </w:rPr>
            </w:pPr>
            <w:r>
              <w:rPr>
                <w:rFonts w:hint="eastAsia" w:eastAsia="楷体_GB2312"/>
                <w:sz w:val="28"/>
                <w:szCs w:val="28"/>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E66A4A">
            <w:pPr>
              <w:rPr>
                <w:rFonts w:eastAsia="仿宋_GB2312"/>
              </w:rPr>
            </w:pPr>
            <w:r>
              <w:rPr>
                <w:rFonts w:hint="eastAsia" w:eastAsia="仿宋_GB2312"/>
              </w:rPr>
              <w:t>现有相关科学研究存在的问题：</w:t>
            </w:r>
          </w:p>
          <w:p w14:paraId="577F9C05">
            <w:pPr>
              <w:rPr>
                <w:rFonts w:eastAsia="仿宋_GB2312"/>
              </w:rPr>
            </w:pPr>
            <w:r>
              <w:rPr>
                <w:rFonts w:eastAsia="仿宋_GB2312"/>
              </w:rPr>
              <w:t>1.</w:t>
            </w:r>
            <w:r>
              <w:rPr>
                <w:rFonts w:hint="eastAsia" w:eastAsia="仿宋_GB2312"/>
              </w:rPr>
              <w:t>传统的单流体</w:t>
            </w:r>
            <w:r>
              <w:rPr>
                <w:rFonts w:eastAsia="仿宋_GB2312"/>
              </w:rPr>
              <w:t>MHD</w:t>
            </w:r>
            <w:r>
              <w:rPr>
                <w:rFonts w:hint="eastAsia" w:eastAsia="仿宋_GB2312"/>
              </w:rPr>
              <w:t>模型难以分辨离子动力学效应，对非流体尺度现象捕捉不足。</w:t>
            </w:r>
          </w:p>
          <w:p w14:paraId="55914CC6">
            <w:pPr>
              <w:rPr>
                <w:rFonts w:eastAsia="仿宋_GB2312"/>
              </w:rPr>
            </w:pPr>
            <w:r>
              <w:rPr>
                <w:rFonts w:eastAsia="仿宋_GB2312"/>
              </w:rPr>
              <w:t>2.</w:t>
            </w:r>
            <w:r>
              <w:rPr>
                <w:rFonts w:hint="eastAsia" w:eastAsia="仿宋_GB2312"/>
              </w:rPr>
              <w:t>金星和火星的感应磁层常作为独立对象研究，缺乏统一数值模型下的数值实验，难以识别具有代表性的共性物理过程。</w:t>
            </w:r>
          </w:p>
          <w:p w14:paraId="03389B26">
            <w:pPr>
              <w:rPr>
                <w:rFonts w:eastAsia="仿宋_GB2312"/>
              </w:rPr>
            </w:pPr>
            <w:r>
              <w:rPr>
                <w:rFonts w:eastAsia="仿宋_GB2312"/>
              </w:rPr>
              <w:t>3.</w:t>
            </w:r>
            <w:r>
              <w:rPr>
                <w:rFonts w:hint="eastAsia" w:eastAsia="仿宋_GB2312"/>
              </w:rPr>
              <w:t>已有对逃逸过程的研究多集中于统计性解释，无法充分验证离子动力学主导机制的有效性。</w:t>
            </w:r>
          </w:p>
          <w:p w14:paraId="22268586">
            <w:pPr>
              <w:rPr>
                <w:rFonts w:eastAsia="仿宋_GB2312"/>
              </w:rPr>
            </w:pPr>
          </w:p>
          <w:p w14:paraId="54CCC746">
            <w:pPr>
              <w:rPr>
                <w:rFonts w:eastAsia="仿宋_GB2312"/>
              </w:rPr>
            </w:pPr>
            <w:r>
              <w:rPr>
                <w:rFonts w:hint="eastAsia" w:eastAsia="仿宋_GB2312"/>
              </w:rPr>
              <w:t>因此，系统研究金星磁感应磁层中离子动力学效应，并与火星进行比较分析，将有助于揭示类地行星在缺乏内禀磁场条件下的共性物理机制，为理解地球的独特性与宜居性提供参考。</w:t>
            </w:r>
          </w:p>
        </w:tc>
      </w:tr>
      <w:tr w14:paraId="5566C9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52E1BA">
            <w:pPr>
              <w:jc w:val="center"/>
              <w:rPr>
                <w:rFonts w:eastAsia="楷体_GB2312"/>
                <w:sz w:val="28"/>
                <w:szCs w:val="28"/>
              </w:rPr>
            </w:pPr>
            <w:r>
              <w:rPr>
                <w:rFonts w:hint="eastAsia" w:eastAsia="楷体_GB2312"/>
                <w:sz w:val="28"/>
                <w:szCs w:val="28"/>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336161">
            <w:pPr>
              <w:rPr>
                <w:rFonts w:eastAsia="仿宋_GB2312"/>
              </w:rPr>
            </w:pPr>
            <w:r>
              <w:rPr>
                <w:rFonts w:hint="eastAsia" w:eastAsia="仿宋_GB2312"/>
              </w:rPr>
              <w:t>空间科学研究作为关系国家社会发展、科技进步和空间安全的一个新兴研究领域而得到高度广泛关注，成为国际上激烈竞争的科学领域之一。通过解决本榜单提出的科研问题，旨在为我国未来的深空探索研究提供优秀的储备人才。</w:t>
            </w:r>
          </w:p>
        </w:tc>
      </w:tr>
    </w:tbl>
    <w:p w14:paraId="78C61E1A">
      <w:pPr>
        <w:rPr>
          <w:rFonts w:hint="eastAsia" w:eastAsia="楷体_GB2312"/>
        </w:rPr>
      </w:pPr>
      <w:r>
        <w:rPr>
          <w:rFonts w:hint="eastAsia" w:eastAsia="楷体_GB2312"/>
        </w:rPr>
        <w:br w:type="page"/>
      </w:r>
    </w:p>
    <w:p w14:paraId="0406F034">
      <w:pPr>
        <w:rPr>
          <w:rFonts w:hint="eastAsia" w:eastAsia="楷体_GB2312"/>
        </w:rPr>
      </w:pPr>
    </w:p>
    <w:p w14:paraId="6C798C59">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“青智未来”新质生产力</w:t>
      </w:r>
      <w:r>
        <w:rPr>
          <w:rFonts w:hint="default" w:ascii="Times New Roman" w:hAnsi="Times New Roman" w:eastAsia="方正小标宋简体" w:cs="Times New Roman"/>
          <w:b w:val="0"/>
          <w:bCs/>
          <w:kern w:val="2"/>
          <w:sz w:val="44"/>
          <w:szCs w:val="32"/>
          <w:highlight w:val="none"/>
          <w:lang w:val="en-US" w:eastAsia="zh-CN"/>
        </w:rPr>
        <w:t>专项赛</w:t>
      </w:r>
    </w:p>
    <w:p w14:paraId="01892C29">
      <w:pPr>
        <w:keepNext w:val="0"/>
        <w:keepLines w:val="0"/>
        <w:pageBreakBefore w:val="0"/>
        <w:widowControl w:val="0"/>
        <w:tabs>
          <w:tab w:val="left" w:pos="8640"/>
        </w:tabs>
        <w:kinsoku/>
        <w:wordWrap w:val="0"/>
        <w:topLinePunct w:val="0"/>
        <w:autoSpaceDE/>
        <w:autoSpaceDN/>
        <w:bidi w:val="0"/>
        <w:adjustRightInd w:val="0"/>
        <w:snapToGrid w:val="0"/>
        <w:spacing w:line="560" w:lineRule="exact"/>
        <w:jc w:val="center"/>
        <w:rPr>
          <w:rFonts w:hint="eastAsia" w:ascii="Times New Roman" w:hAnsi="Times New Roman" w:eastAsia="方正小标宋简体" w:cs="Times New Roman"/>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—02</w:t>
      </w:r>
    </w:p>
    <w:p w14:paraId="048C0204">
      <w:pPr>
        <w:keepNext w:val="0"/>
        <w:keepLines w:val="0"/>
        <w:pageBreakBefore w:val="0"/>
        <w:widowControl w:val="0"/>
        <w:tabs>
          <w:tab w:val="left" w:pos="8640"/>
        </w:tabs>
        <w:kinsoku/>
        <w:wordWrap w:val="0"/>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b w:val="0"/>
          <w:bCs/>
          <w:kern w:val="2"/>
          <w:sz w:val="32"/>
          <w:szCs w:val="22"/>
          <w:highlight w:val="none"/>
          <w:lang w:val="en-US" w:eastAsia="zh-CN"/>
        </w:rPr>
      </w:pPr>
    </w:p>
    <w:p w14:paraId="6157F19F">
      <w:pPr>
        <w:pStyle w:val="21"/>
        <w:numPr>
          <w:ilvl w:val="0"/>
          <w:numId w:val="1"/>
        </w:numPr>
        <w:tabs>
          <w:tab w:val="left" w:pos="8640"/>
        </w:tabs>
        <w:adjustRightInd w:val="0"/>
        <w:snapToGrid w:val="0"/>
        <w:spacing w:line="560" w:lineRule="exact"/>
        <w:ind w:firstLineChars="0"/>
        <w:rPr>
          <w:rFonts w:ascii="方正黑体简体" w:eastAsia="方正黑体简体"/>
          <w:bCs/>
          <w:spacing w:val="6"/>
          <w:sz w:val="32"/>
          <w:szCs w:val="32"/>
        </w:rPr>
      </w:pPr>
      <w:r>
        <w:rPr>
          <w:rFonts w:hint="eastAsia" w:ascii="方正黑体简体" w:eastAsia="方正黑体简体"/>
          <w:bCs/>
          <w:spacing w:val="6"/>
          <w:sz w:val="32"/>
          <w:szCs w:val="32"/>
        </w:rPr>
        <w:t>单位信息</w:t>
      </w:r>
    </w:p>
    <w:tbl>
      <w:tblPr>
        <w:tblStyle w:val="11"/>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004E1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5C0C70DB">
            <w:pPr>
              <w:adjustRightInd w:val="0"/>
              <w:spacing w:line="560" w:lineRule="exact"/>
              <w:jc w:val="center"/>
              <w:rPr>
                <w:rFonts w:ascii="楷体_GB2312" w:hAnsi="楷体_GB2312" w:eastAsia="楷体_GB2312" w:cs="楷体_GB2312"/>
                <w:sz w:val="28"/>
                <w:szCs w:val="32"/>
              </w:rPr>
            </w:pPr>
            <w:r>
              <w:rPr>
                <w:rFonts w:hint="eastAsia" w:ascii="楷体_GB2312" w:hAnsi="楷体_GB2312" w:eastAsia="楷体_GB2312" w:cs="楷体_GB2312"/>
                <w:sz w:val="28"/>
                <w:szCs w:val="32"/>
              </w:rPr>
              <w:t>单位名称</w:t>
            </w:r>
          </w:p>
        </w:tc>
        <w:tc>
          <w:tcPr>
            <w:tcW w:w="6932" w:type="dxa"/>
            <w:gridSpan w:val="3"/>
            <w:vAlign w:val="center"/>
          </w:tcPr>
          <w:p w14:paraId="5B2D0C15">
            <w:pPr>
              <w:adjustRightInd w:val="0"/>
              <w:snapToGrid w:val="0"/>
              <w:ind w:left="0" w:leftChars="0" w:right="0" w:rightChars="0" w:firstLine="0" w:firstLineChars="0"/>
              <w:jc w:val="center"/>
              <w:rPr>
                <w:rFonts w:ascii="仿宋_GB2312" w:hAnsi="仿宋_GB2312" w:eastAsia="仿宋_GB2312" w:cs="仿宋_GB2312"/>
              </w:rPr>
            </w:pPr>
            <w:r>
              <w:rPr>
                <w:rFonts w:eastAsia="仿宋_GB2312"/>
                <w:lang w:val="en-US"/>
              </w:rPr>
              <w:t>李宁（中国）体育用品有限公司</w:t>
            </w:r>
          </w:p>
        </w:tc>
      </w:tr>
      <w:tr w14:paraId="2F327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2669CD8C">
            <w:pPr>
              <w:adjustRightInd w:val="0"/>
              <w:snapToGrid w:val="0"/>
              <w:jc w:val="center"/>
              <w:rPr>
                <w:rFonts w:ascii="楷体_GB2312" w:hAnsi="楷体_GB2312" w:eastAsia="楷体_GB2312" w:cs="楷体_GB2312"/>
                <w:bCs/>
                <w:spacing w:val="6"/>
                <w:szCs w:val="28"/>
                <w:lang w:val="en-US"/>
              </w:rPr>
            </w:pPr>
            <w:r>
              <w:rPr>
                <w:rFonts w:hint="eastAsia" w:ascii="楷体_GB2312" w:hAnsi="楷体_GB2312" w:eastAsia="楷体_GB2312" w:cs="楷体_GB2312"/>
                <w:sz w:val="28"/>
                <w:szCs w:val="32"/>
                <w:lang w:val="en-US"/>
              </w:rPr>
              <w:t>单位类型</w:t>
            </w:r>
          </w:p>
        </w:tc>
        <w:tc>
          <w:tcPr>
            <w:tcW w:w="6932" w:type="dxa"/>
            <w:gridSpan w:val="3"/>
            <w:vAlign w:val="center"/>
          </w:tcPr>
          <w:p w14:paraId="15811403">
            <w:pPr>
              <w:adjustRightInd w:val="0"/>
              <w:snapToGrid w:val="0"/>
              <w:ind w:left="0" w:leftChars="0" w:right="0" w:rightChars="0" w:firstLine="0" w:firstLineChars="0"/>
              <w:jc w:val="center"/>
              <w:rPr>
                <w:rFonts w:ascii="仿宋_GB2312" w:hAnsi="仿宋_GB2312" w:eastAsia="仿宋_GB2312" w:cs="仿宋_GB2312"/>
                <w:bCs/>
                <w:spacing w:val="6"/>
                <w:szCs w:val="28"/>
                <w:lang w:val="en-US"/>
              </w:rPr>
            </w:pPr>
            <w:r>
              <w:rPr>
                <w:rFonts w:hint="eastAsia" w:eastAsia="仿宋_GB2312"/>
                <w:lang w:val="en-US"/>
              </w:rPr>
              <w:t>外资企业</w:t>
            </w:r>
          </w:p>
        </w:tc>
      </w:tr>
      <w:tr w14:paraId="16CFB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2A513BD5">
            <w:pPr>
              <w:adjustRightInd w:val="0"/>
              <w:spacing w:line="560" w:lineRule="exact"/>
              <w:jc w:val="center"/>
              <w:rPr>
                <w:rFonts w:ascii="楷体_GB2312" w:hAnsi="楷体_GB2312" w:eastAsia="楷体_GB2312" w:cs="楷体_GB2312"/>
                <w:sz w:val="28"/>
                <w:szCs w:val="32"/>
              </w:rPr>
            </w:pPr>
            <w:r>
              <w:rPr>
                <w:rFonts w:hint="eastAsia" w:ascii="楷体_GB2312" w:hAnsi="楷体_GB2312" w:eastAsia="楷体_GB2312" w:cs="楷体_GB2312"/>
                <w:sz w:val="28"/>
                <w:szCs w:val="32"/>
              </w:rPr>
              <w:t>地址</w:t>
            </w:r>
          </w:p>
        </w:tc>
        <w:tc>
          <w:tcPr>
            <w:tcW w:w="6932" w:type="dxa"/>
            <w:gridSpan w:val="3"/>
            <w:vAlign w:val="center"/>
          </w:tcPr>
          <w:p w14:paraId="6657BAFA">
            <w:pPr>
              <w:adjustRightInd w:val="0"/>
              <w:ind w:left="0" w:leftChars="0" w:right="0" w:rightChars="0" w:firstLine="0" w:firstLineChars="0"/>
              <w:jc w:val="center"/>
              <w:rPr>
                <w:rFonts w:ascii="仿宋_GB2312" w:hAnsi="仿宋_GB2312" w:eastAsia="仿宋_GB2312" w:cs="仿宋_GB2312"/>
              </w:rPr>
            </w:pPr>
            <w:r>
              <w:rPr>
                <w:rFonts w:eastAsia="仿宋_GB2312"/>
              </w:rPr>
              <w:t>北京市北京经济技术开发区</w:t>
            </w:r>
            <w:r>
              <w:rPr>
                <w:rFonts w:hint="eastAsia" w:eastAsia="仿宋_GB2312"/>
                <w:lang w:eastAsia="zh-CN"/>
              </w:rPr>
              <w:t>（</w:t>
            </w:r>
            <w:r>
              <w:rPr>
                <w:rFonts w:eastAsia="仿宋_GB2312"/>
              </w:rPr>
              <w:t>通州</w:t>
            </w:r>
            <w:r>
              <w:rPr>
                <w:rFonts w:hint="eastAsia" w:eastAsia="仿宋_GB2312"/>
                <w:lang w:eastAsia="zh-CN"/>
              </w:rPr>
              <w:t>）</w:t>
            </w:r>
            <w:r>
              <w:rPr>
                <w:rFonts w:eastAsia="仿宋_GB2312"/>
              </w:rPr>
              <w:t>兴光五街8号1-8幢</w:t>
            </w:r>
          </w:p>
        </w:tc>
      </w:tr>
      <w:tr w14:paraId="25639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2" w:hRule="atLeast"/>
          <w:jc w:val="center"/>
        </w:trPr>
        <w:tc>
          <w:tcPr>
            <w:tcW w:w="1668" w:type="dxa"/>
            <w:vAlign w:val="center"/>
          </w:tcPr>
          <w:p w14:paraId="3600F931">
            <w:pPr>
              <w:adjustRightInd w:val="0"/>
              <w:spacing w:line="560" w:lineRule="exact"/>
              <w:jc w:val="center"/>
              <w:rPr>
                <w:rFonts w:ascii="楷体_GB2312" w:hAnsi="楷体_GB2312" w:eastAsia="楷体_GB2312" w:cs="楷体_GB2312"/>
                <w:sz w:val="28"/>
                <w:szCs w:val="32"/>
              </w:rPr>
            </w:pPr>
            <w:r>
              <w:rPr>
                <w:rFonts w:hint="eastAsia" w:ascii="楷体_GB2312" w:hAnsi="楷体_GB2312" w:eastAsia="楷体_GB2312" w:cs="楷体_GB2312"/>
                <w:sz w:val="28"/>
                <w:szCs w:val="32"/>
                <w:lang w:val="en-US"/>
              </w:rPr>
              <w:t>单位</w:t>
            </w:r>
            <w:r>
              <w:rPr>
                <w:rFonts w:hint="eastAsia" w:ascii="楷体_GB2312" w:hAnsi="楷体_GB2312" w:eastAsia="楷体_GB2312" w:cs="楷体_GB2312"/>
                <w:sz w:val="28"/>
                <w:szCs w:val="32"/>
              </w:rPr>
              <w:t>简介</w:t>
            </w:r>
          </w:p>
        </w:tc>
        <w:tc>
          <w:tcPr>
            <w:tcW w:w="6932" w:type="dxa"/>
            <w:gridSpan w:val="3"/>
            <w:vAlign w:val="center"/>
          </w:tcPr>
          <w:p w14:paraId="4006F18C">
            <w:pPr>
              <w:ind w:firstLine="506"/>
              <w:rPr>
                <w:rFonts w:eastAsia="仿宋_GB2312"/>
              </w:rPr>
            </w:pPr>
            <w:r>
              <w:rPr>
                <w:rFonts w:hint="eastAsia" w:eastAsia="仿宋_GB2312"/>
              </w:rPr>
              <w:t>李宁（中国）体育用品有限公司成立于</w:t>
            </w:r>
            <w:r>
              <w:rPr>
                <w:rFonts w:eastAsia="仿宋_GB2312"/>
              </w:rPr>
              <w:t>1990</w:t>
            </w:r>
            <w:r>
              <w:rPr>
                <w:rFonts w:hint="eastAsia" w:eastAsia="仿宋_GB2312"/>
              </w:rPr>
              <w:t>年，</w:t>
            </w:r>
            <w:r>
              <w:rPr>
                <w:rFonts w:eastAsia="仿宋_GB2312"/>
              </w:rPr>
              <w:t>2007</w:t>
            </w:r>
            <w:r>
              <w:rPr>
                <w:rFonts w:hint="eastAsia" w:eastAsia="仿宋_GB2312"/>
              </w:rPr>
              <w:t>年</w:t>
            </w:r>
            <w:r>
              <w:rPr>
                <w:rFonts w:eastAsia="仿宋_GB2312"/>
              </w:rPr>
              <w:t>7</w:t>
            </w:r>
            <w:r>
              <w:rPr>
                <w:rFonts w:hint="eastAsia" w:eastAsia="仿宋_GB2312"/>
              </w:rPr>
              <w:t>月</w:t>
            </w:r>
            <w:r>
              <w:rPr>
                <w:rFonts w:eastAsia="仿宋_GB2312"/>
              </w:rPr>
              <w:t>6</w:t>
            </w:r>
            <w:r>
              <w:rPr>
                <w:rFonts w:hint="eastAsia" w:eastAsia="仿宋_GB2312"/>
              </w:rPr>
              <w:t>日完成工商注册，总部位于北京市北京经济技术开发区，法定代表人为李宁。公司主营运动鞋服、体育器材的生产与销售，旗下拥有李宁、红双喜、艾高、乐途等品牌。</w:t>
            </w:r>
            <w:r>
              <w:rPr>
                <w:rFonts w:eastAsia="仿宋_GB2312"/>
              </w:rPr>
              <w:t>2024</w:t>
            </w:r>
            <w:r>
              <w:rPr>
                <w:rFonts w:hint="eastAsia" w:eastAsia="仿宋_GB2312"/>
              </w:rPr>
              <w:t>年注册资本为</w:t>
            </w:r>
            <w:r>
              <w:rPr>
                <w:rFonts w:eastAsia="仿宋_GB2312"/>
              </w:rPr>
              <w:t>10.17</w:t>
            </w:r>
            <w:r>
              <w:rPr>
                <w:rFonts w:hint="eastAsia" w:eastAsia="仿宋_GB2312"/>
              </w:rPr>
              <w:t>亿元，系台港澳法人独资企业。</w:t>
            </w:r>
            <w:r>
              <w:rPr>
                <w:rFonts w:eastAsia="仿宋_GB2312"/>
              </w:rPr>
              <w:t>2022</w:t>
            </w:r>
            <w:r>
              <w:rPr>
                <w:rFonts w:hint="eastAsia" w:eastAsia="仿宋_GB2312"/>
              </w:rPr>
              <w:t>年全年收入</w:t>
            </w:r>
            <w:r>
              <w:rPr>
                <w:rFonts w:eastAsia="仿宋_GB2312"/>
              </w:rPr>
              <w:t>258.03</w:t>
            </w:r>
            <w:r>
              <w:rPr>
                <w:rFonts w:hint="eastAsia" w:eastAsia="仿宋_GB2312"/>
              </w:rPr>
              <w:t>亿元，净利润</w:t>
            </w:r>
            <w:r>
              <w:rPr>
                <w:rFonts w:eastAsia="仿宋_GB2312"/>
              </w:rPr>
              <w:t>40.64</w:t>
            </w:r>
            <w:r>
              <w:rPr>
                <w:rFonts w:hint="eastAsia" w:eastAsia="仿宋_GB2312"/>
              </w:rPr>
              <w:t>亿元；</w:t>
            </w:r>
            <w:r>
              <w:rPr>
                <w:rFonts w:eastAsia="仿宋_GB2312"/>
              </w:rPr>
              <w:t>2025</w:t>
            </w:r>
            <w:r>
              <w:rPr>
                <w:rFonts w:hint="eastAsia" w:eastAsia="仿宋_GB2312"/>
              </w:rPr>
              <w:t>年上半年收入</w:t>
            </w:r>
            <w:r>
              <w:rPr>
                <w:rFonts w:eastAsia="仿宋_GB2312"/>
              </w:rPr>
              <w:t>148.2</w:t>
            </w:r>
            <w:r>
              <w:rPr>
                <w:rFonts w:hint="eastAsia" w:eastAsia="仿宋_GB2312"/>
              </w:rPr>
              <w:t>亿元，净利润</w:t>
            </w:r>
            <w:r>
              <w:rPr>
                <w:rFonts w:eastAsia="仿宋_GB2312"/>
              </w:rPr>
              <w:t>17.4</w:t>
            </w:r>
            <w:r>
              <w:rPr>
                <w:rFonts w:hint="eastAsia" w:eastAsia="仿宋_GB2312"/>
              </w:rPr>
              <w:t>亿元。</w:t>
            </w:r>
          </w:p>
          <w:p w14:paraId="14BE54C1">
            <w:pPr>
              <w:adjustRightInd w:val="0"/>
              <w:snapToGrid w:val="0"/>
              <w:ind w:firstLine="480" w:firstLineChars="200"/>
              <w:jc w:val="both"/>
              <w:rPr>
                <w:rFonts w:ascii="仿宋_GB2312" w:hAnsi="仿宋_GB2312" w:eastAsia="仿宋_GB2312" w:cs="仿宋_GB2312"/>
                <w:bCs/>
                <w:spacing w:val="6"/>
                <w:szCs w:val="28"/>
              </w:rPr>
            </w:pPr>
            <w:r>
              <w:rPr>
                <w:rFonts w:hint="eastAsia" w:eastAsia="仿宋_GB2312"/>
              </w:rPr>
              <w:t>公司</w:t>
            </w:r>
            <w:r>
              <w:rPr>
                <w:rFonts w:eastAsia="仿宋_GB2312"/>
              </w:rPr>
              <w:t>1990</w:t>
            </w:r>
            <w:r>
              <w:rPr>
                <w:rFonts w:hint="eastAsia" w:eastAsia="仿宋_GB2312"/>
              </w:rPr>
              <w:t>年以亚运会赞助起步，</w:t>
            </w:r>
            <w:r>
              <w:rPr>
                <w:rFonts w:eastAsia="仿宋_GB2312"/>
              </w:rPr>
              <w:t>1992</w:t>
            </w:r>
            <w:r>
              <w:rPr>
                <w:rFonts w:hint="eastAsia" w:eastAsia="仿宋_GB2312"/>
              </w:rPr>
              <w:t>年起为中国奥运代表团提供装备。</w:t>
            </w:r>
            <w:r>
              <w:rPr>
                <w:rFonts w:eastAsia="仿宋_GB2312"/>
              </w:rPr>
              <w:t>2004</w:t>
            </w:r>
            <w:r>
              <w:rPr>
                <w:rFonts w:hint="eastAsia" w:eastAsia="仿宋_GB2312"/>
              </w:rPr>
              <w:t>年在港交所上市，次年成为</w:t>
            </w:r>
            <w:r>
              <w:rPr>
                <w:rFonts w:eastAsia="仿宋_GB2312"/>
              </w:rPr>
              <w:t>NBA</w:t>
            </w:r>
            <w:r>
              <w:rPr>
                <w:rFonts w:hint="eastAsia" w:eastAsia="仿宋_GB2312"/>
              </w:rPr>
              <w:t>官方合作伙伴。</w:t>
            </w:r>
            <w:r>
              <w:rPr>
                <w:rFonts w:eastAsia="仿宋_GB2312"/>
              </w:rPr>
              <w:t>2008</w:t>
            </w:r>
            <w:r>
              <w:rPr>
                <w:rFonts w:hint="eastAsia" w:eastAsia="仿宋_GB2312"/>
              </w:rPr>
              <w:t>年借助北京奥运会提升影响力，</w:t>
            </w:r>
            <w:r>
              <w:rPr>
                <w:rFonts w:eastAsia="仿宋_GB2312"/>
              </w:rPr>
              <w:t>2009</w:t>
            </w:r>
            <w:r>
              <w:rPr>
                <w:rFonts w:hint="eastAsia" w:eastAsia="仿宋_GB2312"/>
              </w:rPr>
              <w:t>年拓展羽毛球领域。</w:t>
            </w:r>
            <w:r>
              <w:rPr>
                <w:rFonts w:eastAsia="仿宋_GB2312"/>
              </w:rPr>
              <w:t>2025</w:t>
            </w:r>
            <w:r>
              <w:rPr>
                <w:rFonts w:hint="eastAsia" w:eastAsia="仿宋_GB2312"/>
              </w:rPr>
              <w:t>年</w:t>
            </w:r>
            <w:r>
              <w:rPr>
                <w:rFonts w:eastAsia="仿宋_GB2312"/>
              </w:rPr>
              <w:t>4</w:t>
            </w:r>
            <w:r>
              <w:rPr>
                <w:rFonts w:hint="eastAsia" w:eastAsia="仿宋_GB2312"/>
              </w:rPr>
              <w:t>月发布《</w:t>
            </w:r>
            <w:r>
              <w:rPr>
                <w:rFonts w:eastAsia="仿宋_GB2312"/>
              </w:rPr>
              <w:t>2024</w:t>
            </w:r>
            <w:r>
              <w:rPr>
                <w:rFonts w:hint="eastAsia" w:eastAsia="仿宋_GB2312"/>
              </w:rPr>
              <w:t>年环境、社会及管治报告》，推出国内首款全降解专业运动鞋，</w:t>
            </w:r>
            <w:r>
              <w:rPr>
                <w:rFonts w:eastAsia="仿宋_GB2312"/>
              </w:rPr>
              <w:t>MSCI ESG</w:t>
            </w:r>
            <w:r>
              <w:rPr>
                <w:rFonts w:hint="eastAsia" w:eastAsia="仿宋_GB2312"/>
              </w:rPr>
              <w:t>评级升至</w:t>
            </w:r>
            <w:r>
              <w:rPr>
                <w:rFonts w:eastAsia="仿宋_GB2312"/>
              </w:rPr>
              <w:t>BBB</w:t>
            </w:r>
            <w:r>
              <w:rPr>
                <w:rFonts w:hint="eastAsia" w:eastAsia="仿宋_GB2312"/>
              </w:rPr>
              <w:t>级。</w:t>
            </w:r>
            <w:r>
              <w:rPr>
                <w:rFonts w:eastAsia="仿宋_GB2312"/>
              </w:rPr>
              <w:t>2025</w:t>
            </w:r>
            <w:r>
              <w:rPr>
                <w:rFonts w:hint="eastAsia" w:eastAsia="仿宋_GB2312"/>
              </w:rPr>
              <w:t>年</w:t>
            </w:r>
            <w:r>
              <w:rPr>
                <w:rFonts w:eastAsia="仿宋_GB2312"/>
              </w:rPr>
              <w:t>1</w:t>
            </w:r>
            <w:r>
              <w:rPr>
                <w:rFonts w:hint="eastAsia" w:eastAsia="仿宋_GB2312"/>
              </w:rPr>
              <w:t>月成为中国奥委会及中国体育代表团官方体育服装合作伙伴，</w:t>
            </w:r>
            <w:r>
              <w:rPr>
                <w:rFonts w:eastAsia="仿宋_GB2312"/>
              </w:rPr>
              <w:t>10</w:t>
            </w:r>
            <w:r>
              <w:rPr>
                <w:rFonts w:hint="eastAsia" w:eastAsia="仿宋_GB2312"/>
              </w:rPr>
              <w:t>月与贵州大学羽毛球队签署校企合作协议，</w:t>
            </w:r>
            <w:r>
              <w:rPr>
                <w:rFonts w:eastAsia="仿宋_GB2312"/>
              </w:rPr>
              <w:t>12</w:t>
            </w:r>
            <w:r>
              <w:rPr>
                <w:rFonts w:hint="eastAsia" w:eastAsia="仿宋_GB2312"/>
              </w:rPr>
              <w:t>月联合主办第三十五届“李宁杯”西南体操协作区比赛。公司系国内首家建成运动服装设计研发中心的企业，</w:t>
            </w:r>
            <w:r>
              <w:rPr>
                <w:rFonts w:eastAsia="仿宋_GB2312"/>
              </w:rPr>
              <w:t>2025</w:t>
            </w:r>
            <w:r>
              <w:rPr>
                <w:rFonts w:hint="eastAsia" w:eastAsia="仿宋_GB2312"/>
              </w:rPr>
              <w:t>年</w:t>
            </w:r>
            <w:r>
              <w:rPr>
                <w:rFonts w:eastAsia="仿宋_GB2312"/>
              </w:rPr>
              <w:t>12</w:t>
            </w:r>
            <w:r>
              <w:rPr>
                <w:rFonts w:hint="eastAsia" w:eastAsia="仿宋_GB2312"/>
              </w:rPr>
              <w:t>月与北京市体育局达成战略合作。</w:t>
            </w:r>
          </w:p>
        </w:tc>
      </w:tr>
      <w:tr w14:paraId="14187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41212736">
            <w:pPr>
              <w:adjustRightInd w:val="0"/>
              <w:snapToGrid w:val="0"/>
              <w:ind w:firstLine="280" w:firstLineChars="100"/>
              <w:jc w:val="both"/>
              <w:rPr>
                <w:rFonts w:ascii="楷体_GB2312" w:hAnsi="楷体_GB2312" w:eastAsia="楷体_GB2312" w:cs="楷体_GB2312"/>
                <w:bCs/>
                <w:spacing w:val="6"/>
                <w:szCs w:val="28"/>
              </w:rPr>
            </w:pPr>
            <w:r>
              <w:rPr>
                <w:rFonts w:hint="eastAsia" w:ascii="楷体_GB2312" w:hAnsi="楷体_GB2312" w:eastAsia="楷体_GB2312" w:cs="楷体_GB2312"/>
                <w:sz w:val="28"/>
                <w:szCs w:val="32"/>
                <w:lang w:val="en-US"/>
              </w:rPr>
              <w:t>联系人</w:t>
            </w:r>
          </w:p>
        </w:tc>
        <w:tc>
          <w:tcPr>
            <w:tcW w:w="3076" w:type="dxa"/>
            <w:vAlign w:val="center"/>
          </w:tcPr>
          <w:p w14:paraId="7E00D1EF">
            <w:pPr>
              <w:adjustRightInd w:val="0"/>
              <w:snapToGrid w:val="0"/>
              <w:jc w:val="both"/>
              <w:rPr>
                <w:rFonts w:ascii="仿宋_GB2312" w:hAnsi="仿宋_GB2312" w:eastAsia="仿宋_GB2312" w:cs="仿宋_GB2312"/>
                <w:bCs/>
                <w:spacing w:val="6"/>
                <w:szCs w:val="28"/>
                <w:lang w:val="en-US"/>
              </w:rPr>
            </w:pPr>
            <w:r>
              <w:rPr>
                <w:rFonts w:hint="eastAsia" w:ascii="仿宋_GB2312" w:hAnsi="仿宋_GB2312" w:eastAsia="仿宋_GB2312" w:cs="仿宋_GB2312"/>
                <w:bCs/>
                <w:spacing w:val="6"/>
                <w:szCs w:val="28"/>
                <w:lang w:val="en-US"/>
              </w:rPr>
              <w:t>储照伟</w:t>
            </w:r>
          </w:p>
        </w:tc>
        <w:tc>
          <w:tcPr>
            <w:tcW w:w="1073" w:type="dxa"/>
            <w:vAlign w:val="center"/>
          </w:tcPr>
          <w:p w14:paraId="4A0E60D8">
            <w:pPr>
              <w:adjustRightInd w:val="0"/>
              <w:spacing w:line="560" w:lineRule="exact"/>
              <w:jc w:val="center"/>
              <w:rPr>
                <w:rFonts w:ascii="楷体_GB2312" w:hAnsi="楷体_GB2312" w:eastAsia="楷体_GB2312" w:cs="楷体_GB2312"/>
                <w:sz w:val="28"/>
                <w:szCs w:val="32"/>
              </w:rPr>
            </w:pPr>
            <w:r>
              <w:rPr>
                <w:rFonts w:hint="eastAsia" w:ascii="楷体_GB2312" w:hAnsi="楷体_GB2312" w:eastAsia="楷体_GB2312" w:cs="楷体_GB2312"/>
                <w:sz w:val="28"/>
                <w:szCs w:val="32"/>
              </w:rPr>
              <w:t>职务</w:t>
            </w:r>
          </w:p>
        </w:tc>
        <w:tc>
          <w:tcPr>
            <w:tcW w:w="2783" w:type="dxa"/>
            <w:vAlign w:val="center"/>
          </w:tcPr>
          <w:p w14:paraId="3C82A9B4">
            <w:pPr>
              <w:adjustRightInd w:val="0"/>
              <w:jc w:val="center"/>
              <w:rPr>
                <w:rFonts w:eastAsia="方正仿宋简体"/>
              </w:rPr>
            </w:pPr>
            <w:r>
              <w:rPr>
                <w:rFonts w:hint="eastAsia" w:eastAsia="方正仿宋简体"/>
              </w:rPr>
              <w:t>/</w:t>
            </w:r>
          </w:p>
        </w:tc>
      </w:tr>
      <w:tr w14:paraId="53C19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01D531FA">
            <w:pPr>
              <w:adjustRightInd w:val="0"/>
              <w:snapToGrid w:val="0"/>
              <w:jc w:val="center"/>
              <w:rPr>
                <w:rFonts w:ascii="楷体_GB2312" w:hAnsi="楷体_GB2312" w:eastAsia="楷体_GB2312" w:cs="楷体_GB2312"/>
                <w:bCs/>
                <w:spacing w:val="6"/>
                <w:szCs w:val="28"/>
                <w:lang w:val="en-US"/>
              </w:rPr>
            </w:pPr>
            <w:r>
              <w:rPr>
                <w:rFonts w:hint="eastAsia" w:ascii="楷体_GB2312" w:hAnsi="楷体_GB2312" w:eastAsia="楷体_GB2312" w:cs="楷体_GB2312"/>
                <w:sz w:val="28"/>
                <w:szCs w:val="32"/>
                <w:lang w:val="en-US"/>
              </w:rPr>
              <w:t>联系方式</w:t>
            </w:r>
          </w:p>
        </w:tc>
        <w:tc>
          <w:tcPr>
            <w:tcW w:w="3076" w:type="dxa"/>
            <w:vAlign w:val="center"/>
          </w:tcPr>
          <w:p w14:paraId="643A13E6">
            <w:pPr>
              <w:adjustRightInd w:val="0"/>
              <w:snapToGrid w:val="0"/>
              <w:jc w:val="both"/>
              <w:rPr>
                <w:rFonts w:ascii="仿宋_GB2312" w:hAnsi="仿宋_GB2312" w:eastAsia="仿宋_GB2312" w:cs="仿宋_GB2312"/>
                <w:bCs/>
                <w:spacing w:val="6"/>
                <w:szCs w:val="28"/>
                <w:lang w:val="en-US"/>
              </w:rPr>
            </w:pPr>
            <w:r>
              <w:rPr>
                <w:rFonts w:hint="eastAsia" w:ascii="仿宋_GB2312" w:hAnsi="仿宋_GB2312" w:eastAsia="仿宋_GB2312" w:cs="仿宋_GB2312"/>
                <w:bCs/>
                <w:spacing w:val="6"/>
                <w:szCs w:val="28"/>
                <w:lang w:val="en-US"/>
              </w:rPr>
              <w:t>1</w:t>
            </w:r>
            <w:r>
              <w:rPr>
                <w:rFonts w:ascii="仿宋_GB2312" w:hAnsi="仿宋_GB2312" w:eastAsia="仿宋_GB2312" w:cs="仿宋_GB2312"/>
                <w:bCs/>
                <w:spacing w:val="6"/>
                <w:szCs w:val="28"/>
                <w:lang w:val="en-US"/>
              </w:rPr>
              <w:t>5210983783</w:t>
            </w:r>
          </w:p>
        </w:tc>
        <w:tc>
          <w:tcPr>
            <w:tcW w:w="1073" w:type="dxa"/>
            <w:vAlign w:val="center"/>
          </w:tcPr>
          <w:p w14:paraId="0DD7C3C3">
            <w:pPr>
              <w:adjustRightInd w:val="0"/>
              <w:spacing w:line="560" w:lineRule="exact"/>
              <w:jc w:val="center"/>
              <w:rPr>
                <w:rFonts w:ascii="楷体_GB2312" w:hAnsi="楷体_GB2312" w:eastAsia="楷体_GB2312" w:cs="楷体_GB2312"/>
                <w:sz w:val="28"/>
                <w:szCs w:val="32"/>
              </w:rPr>
            </w:pPr>
            <w:r>
              <w:rPr>
                <w:rFonts w:hint="eastAsia" w:ascii="楷体_GB2312" w:hAnsi="楷体_GB2312" w:eastAsia="楷体_GB2312" w:cs="楷体_GB2312"/>
                <w:sz w:val="28"/>
                <w:szCs w:val="32"/>
              </w:rPr>
              <w:t>微信</w:t>
            </w:r>
          </w:p>
        </w:tc>
        <w:tc>
          <w:tcPr>
            <w:tcW w:w="2783" w:type="dxa"/>
            <w:vAlign w:val="center"/>
          </w:tcPr>
          <w:p w14:paraId="5EF94689">
            <w:pPr>
              <w:adjustRightInd w:val="0"/>
              <w:jc w:val="center"/>
              <w:rPr>
                <w:rFonts w:eastAsia="方正仿宋简体"/>
              </w:rPr>
            </w:pPr>
            <w:r>
              <w:rPr>
                <w:rFonts w:hint="eastAsia" w:ascii="仿宋_GB2312" w:hAnsi="仿宋_GB2312" w:eastAsia="仿宋_GB2312" w:cs="仿宋_GB2312"/>
                <w:bCs/>
                <w:spacing w:val="6"/>
                <w:szCs w:val="28"/>
                <w:lang w:val="en-US"/>
              </w:rPr>
              <w:t>1</w:t>
            </w:r>
            <w:r>
              <w:rPr>
                <w:rFonts w:ascii="仿宋_GB2312" w:hAnsi="仿宋_GB2312" w:eastAsia="仿宋_GB2312" w:cs="仿宋_GB2312"/>
                <w:bCs/>
                <w:spacing w:val="6"/>
                <w:szCs w:val="28"/>
                <w:lang w:val="en-US"/>
              </w:rPr>
              <w:t>5210983783</w:t>
            </w:r>
          </w:p>
        </w:tc>
      </w:tr>
    </w:tbl>
    <w:p w14:paraId="5671B61C">
      <w:pPr>
        <w:pStyle w:val="21"/>
        <w:numPr>
          <w:ilvl w:val="0"/>
          <w:numId w:val="1"/>
        </w:numPr>
        <w:tabs>
          <w:tab w:val="left" w:pos="8640"/>
        </w:tabs>
        <w:adjustRightInd w:val="0"/>
        <w:snapToGrid w:val="0"/>
        <w:spacing w:line="560" w:lineRule="exact"/>
        <w:ind w:firstLineChars="0"/>
        <w:rPr>
          <w:rFonts w:ascii="方正黑体简体" w:eastAsia="方正黑体简体"/>
          <w:bCs/>
          <w:spacing w:val="6"/>
          <w:sz w:val="32"/>
          <w:szCs w:val="32"/>
        </w:rPr>
      </w:pPr>
      <w:r>
        <w:rPr>
          <w:rFonts w:hint="eastAsia" w:ascii="方正黑体简体" w:eastAsia="方正黑体简体"/>
          <w:bCs/>
          <w:spacing w:val="6"/>
          <w:sz w:val="32"/>
          <w:szCs w:val="32"/>
        </w:rPr>
        <w:t>选题说明</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452251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98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C0EC3CD">
            <w:pPr>
              <w:adjustRightInd w:val="0"/>
              <w:snapToGrid w:val="0"/>
              <w:spacing w:line="560" w:lineRule="exact"/>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lang w:val="en-US"/>
              </w:rPr>
              <w:t>选题</w:t>
            </w:r>
            <w:r>
              <w:rPr>
                <w:rFonts w:hint="eastAsia" w:ascii="楷体_GB2312" w:hAnsi="楷体_GB2312" w:eastAsia="楷体_GB2312" w:cs="楷体_GB2312"/>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C50EE74">
            <w:pPr>
              <w:adjustRightInd w:val="0"/>
              <w:snapToGrid w:val="0"/>
              <w:jc w:val="both"/>
              <w:rPr>
                <w:rFonts w:ascii="仿宋_GB2312" w:hAnsi="仿宋_GB2312" w:eastAsia="仿宋_GB2312" w:cs="仿宋_GB2312"/>
                <w:color w:val="000000"/>
              </w:rPr>
            </w:pPr>
            <w:r>
              <w:rPr>
                <w:rFonts w:eastAsia="仿宋_GB2312"/>
              </w:rPr>
              <w:t>跑鞋缓震性能的主客观映射模型构建及量化评价方法研究</w:t>
            </w:r>
          </w:p>
        </w:tc>
      </w:tr>
      <w:tr w14:paraId="6B8384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09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94821F2">
            <w:pPr>
              <w:adjustRightInd w:val="0"/>
              <w:snapToGrid w:val="0"/>
              <w:spacing w:line="560" w:lineRule="exact"/>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6932F6B">
            <w:pPr>
              <w:adjustRightInd w:val="0"/>
              <w:snapToGrid w:val="0"/>
              <w:jc w:val="both"/>
              <w:rPr>
                <w:rFonts w:ascii="仿宋_GB2312" w:hAnsi="仿宋_GB2312" w:eastAsia="仿宋_GB2312" w:cs="仿宋_GB2312"/>
                <w:color w:val="000000"/>
              </w:rPr>
            </w:pPr>
            <w:r>
              <w:rPr>
                <w:rFonts w:eastAsia="仿宋_GB2312"/>
              </w:rPr>
              <w:t>生物医学工程，运动</w:t>
            </w:r>
            <w:r>
              <w:rPr>
                <w:rFonts w:hint="eastAsia" w:eastAsia="仿宋_GB2312"/>
              </w:rPr>
              <w:t>人体科学</w:t>
            </w:r>
          </w:p>
        </w:tc>
      </w:tr>
      <w:tr w14:paraId="3F631A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5618"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42273A0">
            <w:pPr>
              <w:adjustRightInd w:val="0"/>
              <w:snapToGrid w:val="0"/>
              <w:spacing w:line="560" w:lineRule="exact"/>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12ED7D7">
            <w:pPr>
              <w:adjustRightInd w:val="0"/>
              <w:snapToGrid w:val="0"/>
              <w:ind w:firstLine="480" w:firstLineChars="200"/>
              <w:jc w:val="both"/>
              <w:rPr>
                <w:rFonts w:eastAsia="仿宋_GB2312"/>
                <w:lang w:val="en-US"/>
              </w:rPr>
            </w:pPr>
            <w:r>
              <w:rPr>
                <w:rFonts w:eastAsia="仿宋_GB2312"/>
                <w:lang w:val="en-US"/>
              </w:rPr>
              <w:t>跑步凭借其健康益处及较低的参与门槛，已成为全球</w:t>
            </w:r>
            <w:r>
              <w:rPr>
                <w:rFonts w:hint="eastAsia" w:eastAsia="仿宋_GB2312"/>
                <w:lang w:val="en-US"/>
              </w:rPr>
              <w:t>最</w:t>
            </w:r>
            <w:r>
              <w:rPr>
                <w:rFonts w:eastAsia="仿宋_GB2312"/>
                <w:lang w:val="en-US"/>
              </w:rPr>
              <w:t>广泛普及的体育活动。跑鞋作为</w:t>
            </w:r>
            <w:r>
              <w:rPr>
                <w:rFonts w:hint="eastAsia" w:eastAsia="仿宋_GB2312"/>
                <w:lang w:val="en-US"/>
              </w:rPr>
              <w:t>普遍认可的改善</w:t>
            </w:r>
            <w:r>
              <w:rPr>
                <w:rFonts w:eastAsia="仿宋_GB2312"/>
                <w:lang w:val="en-US"/>
              </w:rPr>
              <w:t>运动体验的关键装备，承担着缓解冲击、提升</w:t>
            </w:r>
            <w:r>
              <w:rPr>
                <w:rFonts w:hint="eastAsia" w:eastAsia="仿宋_GB2312"/>
                <w:lang w:val="en-US"/>
              </w:rPr>
              <w:t>跑步体验</w:t>
            </w:r>
            <w:r>
              <w:rPr>
                <w:rFonts w:eastAsia="仿宋_GB2312"/>
                <w:lang w:val="en-US"/>
              </w:rPr>
              <w:t>的重要功能。其中，</w:t>
            </w:r>
            <w:r>
              <w:rPr>
                <w:rFonts w:hint="eastAsia" w:eastAsia="仿宋_GB2312"/>
                <w:lang w:val="en-US"/>
              </w:rPr>
              <w:t>跑鞋中底的</w:t>
            </w:r>
            <w:r>
              <w:rPr>
                <w:rFonts w:eastAsia="仿宋_GB2312"/>
                <w:lang w:val="en-US"/>
              </w:rPr>
              <w:t>主观缓震感受是影响跑者选购决策及运动体验的核心要素。然而，现有研究多聚焦于实验室环境下的生物力学效能分析及材料性能测试，缺乏对主观缓震体验的标准化定义，且未建立其与跑鞋客观物理特征的量化映射</w:t>
            </w:r>
            <w:r>
              <w:rPr>
                <w:rFonts w:hint="eastAsia" w:eastAsia="仿宋_GB2312"/>
                <w:lang w:val="en-US"/>
              </w:rPr>
              <w:t>，</w:t>
            </w:r>
            <w:r>
              <w:rPr>
                <w:rFonts w:eastAsia="仿宋_GB2312"/>
                <w:lang w:val="en-US"/>
              </w:rPr>
              <w:t>致使现有成果在指导</w:t>
            </w:r>
            <w:r>
              <w:rPr>
                <w:rFonts w:hint="eastAsia" w:eastAsia="仿宋_GB2312"/>
                <w:lang w:val="en-US"/>
              </w:rPr>
              <w:t>跑者的</w:t>
            </w:r>
            <w:r>
              <w:rPr>
                <w:rFonts w:eastAsia="仿宋_GB2312"/>
                <w:lang w:val="en-US"/>
              </w:rPr>
              <w:t>跑鞋选购及</w:t>
            </w:r>
            <w:r>
              <w:rPr>
                <w:rFonts w:hint="eastAsia" w:eastAsia="仿宋_GB2312"/>
                <w:lang w:val="en-US"/>
              </w:rPr>
              <w:t>厂家对于跑鞋</w:t>
            </w:r>
            <w:r>
              <w:rPr>
                <w:rFonts w:eastAsia="仿宋_GB2312"/>
                <w:lang w:val="en-US"/>
              </w:rPr>
              <w:t>性能优化方面，存在理论数据与主观体验脱节的问题。</w:t>
            </w:r>
          </w:p>
          <w:p w14:paraId="64B38813">
            <w:pPr>
              <w:adjustRightInd w:val="0"/>
              <w:snapToGrid w:val="0"/>
              <w:ind w:firstLine="480" w:firstLineChars="200"/>
              <w:jc w:val="both"/>
              <w:rPr>
                <w:rFonts w:ascii="仿宋_GB2312" w:hAnsi="仿宋_GB2312" w:eastAsia="仿宋_GB2312" w:cs="仿宋_GB2312"/>
                <w:bCs/>
                <w:color w:val="000000"/>
                <w:spacing w:val="6"/>
                <w:szCs w:val="28"/>
                <w:lang w:val="en-US"/>
              </w:rPr>
            </w:pPr>
            <w:r>
              <w:rPr>
                <w:rFonts w:hint="eastAsia" w:eastAsia="仿宋_GB2312"/>
                <w:lang w:val="en-US"/>
              </w:rPr>
              <w:t>本题目要求参赛者基于当前跑者对跑鞋中底主观缓震感受的共识性认知及跑鞋的常见物理特征，设计工具或模型，能够将跑者的主观缓震感受与量化的标准鞋类特征建立映射关系，得出跑者更倾向选择的跑鞋物理特征以指导跑鞋性能的优化及生产。</w:t>
            </w:r>
          </w:p>
        </w:tc>
      </w:tr>
      <w:tr w14:paraId="4DF96A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9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43EBFEF">
            <w:pPr>
              <w:adjustRightInd w:val="0"/>
              <w:snapToGrid w:val="0"/>
              <w:spacing w:line="560" w:lineRule="exact"/>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B8A992B">
            <w:pPr>
              <w:adjustRightInd w:val="0"/>
              <w:snapToGrid w:val="0"/>
              <w:ind w:firstLine="504" w:firstLineChars="200"/>
              <w:rPr>
                <w:rFonts w:ascii="仿宋_GB2312" w:hAnsi="仿宋_GB2312" w:eastAsia="仿宋_GB2312" w:cs="仿宋_GB2312"/>
                <w:bCs/>
                <w:color w:val="000000"/>
                <w:spacing w:val="6"/>
                <w:szCs w:val="28"/>
              </w:rPr>
            </w:pPr>
            <w:r>
              <w:rPr>
                <w:rFonts w:ascii="仿宋_GB2312" w:hAnsi="仿宋_GB2312" w:eastAsia="仿宋_GB2312" w:cs="仿宋_GB2312"/>
                <w:bCs/>
                <w:color w:val="000000"/>
                <w:spacing w:val="6"/>
                <w:szCs w:val="28"/>
              </w:rPr>
              <w:t xml:space="preserve">1. </w:t>
            </w:r>
            <w:r>
              <w:rPr>
                <w:rFonts w:hint="eastAsia" w:ascii="仿宋_GB2312" w:hAnsi="仿宋_GB2312" w:eastAsia="仿宋_GB2312" w:cs="仿宋_GB2312"/>
                <w:bCs/>
                <w:color w:val="000000"/>
                <w:spacing w:val="6"/>
                <w:szCs w:val="28"/>
              </w:rPr>
              <w:t>具备创新性，独立设计并完成开发，此前未公开发布；</w:t>
            </w:r>
          </w:p>
          <w:p w14:paraId="1F22F4C5">
            <w:pPr>
              <w:adjustRightInd w:val="0"/>
              <w:snapToGrid w:val="0"/>
              <w:ind w:firstLine="504" w:firstLineChars="200"/>
              <w:rPr>
                <w:rFonts w:ascii="仿宋_GB2312" w:hAnsi="仿宋_GB2312" w:eastAsia="仿宋_GB2312" w:cs="仿宋_GB2312"/>
                <w:bCs/>
                <w:color w:val="000000"/>
                <w:spacing w:val="6"/>
                <w:szCs w:val="28"/>
              </w:rPr>
            </w:pPr>
            <w:r>
              <w:rPr>
                <w:rFonts w:ascii="仿宋_GB2312" w:hAnsi="仿宋_GB2312" w:eastAsia="仿宋_GB2312" w:cs="仿宋_GB2312"/>
                <w:bCs/>
                <w:color w:val="000000"/>
                <w:spacing w:val="6"/>
                <w:szCs w:val="28"/>
              </w:rPr>
              <w:t xml:space="preserve">2. </w:t>
            </w:r>
            <w:r>
              <w:rPr>
                <w:rFonts w:hint="eastAsia" w:ascii="仿宋_GB2312" w:hAnsi="仿宋_GB2312" w:eastAsia="仿宋_GB2312" w:cs="仿宋_GB2312"/>
                <w:bCs/>
                <w:color w:val="000000"/>
                <w:spacing w:val="6"/>
                <w:szCs w:val="28"/>
              </w:rPr>
              <w:t>开发模拟跑鞋中底的客观物理特征的实验装置，通过装置收集跑者主观缓震的体验评价，并提供充分的实验数据证明主客观映射关系；</w:t>
            </w:r>
          </w:p>
          <w:p w14:paraId="1B14DD7F">
            <w:pPr>
              <w:adjustRightInd w:val="0"/>
              <w:snapToGrid w:val="0"/>
              <w:ind w:firstLine="504" w:firstLineChars="200"/>
              <w:rPr>
                <w:rFonts w:ascii="仿宋_GB2312" w:hAnsi="仿宋_GB2312" w:eastAsia="仿宋_GB2312" w:cs="仿宋_GB2312"/>
                <w:bCs/>
                <w:color w:val="000000"/>
                <w:spacing w:val="6"/>
                <w:szCs w:val="28"/>
              </w:rPr>
            </w:pPr>
            <w:r>
              <w:rPr>
                <w:rFonts w:ascii="仿宋_GB2312" w:hAnsi="仿宋_GB2312" w:eastAsia="仿宋_GB2312" w:cs="仿宋_GB2312"/>
                <w:bCs/>
                <w:color w:val="000000"/>
                <w:spacing w:val="6"/>
                <w:szCs w:val="28"/>
              </w:rPr>
              <w:t xml:space="preserve">3. </w:t>
            </w:r>
            <w:r>
              <w:rPr>
                <w:rFonts w:hint="eastAsia" w:ascii="仿宋_GB2312" w:hAnsi="仿宋_GB2312" w:eastAsia="仿宋_GB2312" w:cs="仿宋_GB2312"/>
                <w:bCs/>
                <w:color w:val="000000"/>
                <w:spacing w:val="6"/>
                <w:szCs w:val="28"/>
              </w:rPr>
              <w:t>具备实用性，有一定的转化价值；</w:t>
            </w:r>
          </w:p>
          <w:p w14:paraId="0A81FFE5">
            <w:pPr>
              <w:adjustRightInd w:val="0"/>
              <w:snapToGrid w:val="0"/>
              <w:ind w:firstLine="504" w:firstLineChars="200"/>
              <w:rPr>
                <w:rFonts w:ascii="仿宋_GB2312" w:hAnsi="仿宋_GB2312" w:eastAsia="仿宋_GB2312" w:cs="仿宋_GB2312"/>
                <w:bCs/>
                <w:color w:val="000000"/>
                <w:spacing w:val="6"/>
                <w:szCs w:val="28"/>
              </w:rPr>
            </w:pPr>
            <w:r>
              <w:rPr>
                <w:rFonts w:ascii="仿宋_GB2312" w:hAnsi="仿宋_GB2312" w:eastAsia="仿宋_GB2312" w:cs="仿宋_GB2312"/>
                <w:bCs/>
                <w:color w:val="000000"/>
                <w:spacing w:val="6"/>
                <w:szCs w:val="28"/>
              </w:rPr>
              <w:t xml:space="preserve">4. </w:t>
            </w:r>
            <w:r>
              <w:rPr>
                <w:rFonts w:hint="eastAsia" w:ascii="仿宋_GB2312" w:hAnsi="仿宋_GB2312" w:eastAsia="仿宋_GB2312" w:cs="仿宋_GB2312"/>
                <w:bCs/>
                <w:color w:val="000000"/>
                <w:spacing w:val="6"/>
                <w:szCs w:val="28"/>
              </w:rPr>
              <w:t>方案需具备明确的应用场景（如辅助跑鞋研发设计）；</w:t>
            </w:r>
          </w:p>
          <w:p w14:paraId="4891673D">
            <w:pPr>
              <w:adjustRightInd w:val="0"/>
              <w:snapToGrid w:val="0"/>
              <w:ind w:firstLine="504" w:firstLineChars="200"/>
              <w:rPr>
                <w:rFonts w:ascii="仿宋_GB2312" w:hAnsi="仿宋_GB2312" w:eastAsia="仿宋_GB2312" w:cs="仿宋_GB2312"/>
                <w:color w:val="000000"/>
              </w:rPr>
            </w:pPr>
            <w:r>
              <w:rPr>
                <w:rFonts w:ascii="仿宋_GB2312" w:hAnsi="仿宋_GB2312" w:eastAsia="仿宋_GB2312" w:cs="仿宋_GB2312"/>
                <w:bCs/>
                <w:color w:val="000000"/>
                <w:spacing w:val="6"/>
                <w:szCs w:val="28"/>
              </w:rPr>
              <w:t xml:space="preserve">5. </w:t>
            </w:r>
            <w:r>
              <w:rPr>
                <w:rFonts w:hint="eastAsia" w:ascii="仿宋_GB2312" w:hAnsi="仿宋_GB2312" w:eastAsia="仿宋_GB2312" w:cs="仿宋_GB2312"/>
                <w:bCs/>
                <w:color w:val="000000"/>
                <w:spacing w:val="6"/>
                <w:szCs w:val="28"/>
              </w:rPr>
              <w:t>参赛者需提交书面技术报告，内容包括：技术路线、详细技术方案（含模型的搭建，验证和实验方案）和实验分析结果。</w:t>
            </w:r>
          </w:p>
        </w:tc>
      </w:tr>
      <w:tr w14:paraId="53FB71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05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AB7DD2">
            <w:pPr>
              <w:overflowPunct w:val="0"/>
              <w:adjustRightInd w:val="0"/>
              <w:snapToGrid w:val="0"/>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作品评审</w:t>
            </w:r>
          </w:p>
          <w:p w14:paraId="5EA853BB">
            <w:pPr>
              <w:overflowPunct w:val="0"/>
              <w:adjustRightInd w:val="0"/>
              <w:snapToGrid w:val="0"/>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7B249B">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作品总分包括主观分和客观分，其中主观分30分，客观分7</w:t>
            </w:r>
            <w:r>
              <w:rPr>
                <w:rFonts w:ascii="仿宋_GB2312" w:hAnsi="仿宋_GB2312" w:eastAsia="仿宋_GB2312" w:cs="仿宋_GB2312"/>
                <w:bCs/>
                <w:color w:val="000000"/>
                <w:spacing w:val="6"/>
                <w:szCs w:val="28"/>
              </w:rPr>
              <w:t>0</w:t>
            </w:r>
            <w:r>
              <w:rPr>
                <w:rFonts w:hint="eastAsia" w:ascii="仿宋_GB2312" w:hAnsi="仿宋_GB2312" w:eastAsia="仿宋_GB2312" w:cs="仿宋_GB2312"/>
                <w:bCs/>
                <w:color w:val="000000"/>
                <w:spacing w:val="6"/>
                <w:szCs w:val="28"/>
              </w:rPr>
              <w:t>分。</w:t>
            </w:r>
          </w:p>
          <w:p w14:paraId="5337FEF0">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lang w:eastAsia="zh-CN"/>
              </w:rPr>
              <w:t>（一）</w:t>
            </w:r>
            <w:r>
              <w:rPr>
                <w:rFonts w:ascii="仿宋_GB2312" w:hAnsi="仿宋_GB2312" w:eastAsia="仿宋_GB2312" w:cs="仿宋_GB2312"/>
                <w:bCs/>
                <w:color w:val="000000"/>
                <w:spacing w:val="6"/>
                <w:szCs w:val="28"/>
              </w:rPr>
              <w:tab/>
            </w:r>
            <w:r>
              <w:rPr>
                <w:rFonts w:hint="eastAsia" w:ascii="仿宋_GB2312" w:hAnsi="仿宋_GB2312" w:eastAsia="仿宋_GB2312" w:cs="仿宋_GB2312"/>
                <w:bCs/>
                <w:color w:val="000000"/>
                <w:spacing w:val="6"/>
                <w:szCs w:val="28"/>
              </w:rPr>
              <w:t>主观分</w:t>
            </w:r>
          </w:p>
          <w:p w14:paraId="263C129C">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评委主要从技术创新程度、科学性、工程性、功效性等维度进行综合评价，各维度所占分值情况如下：</w:t>
            </w:r>
          </w:p>
          <w:p w14:paraId="69A2A0D8">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1</w:t>
            </w:r>
            <w:r>
              <w:rPr>
                <w:rFonts w:ascii="仿宋_GB2312" w:hAnsi="仿宋_GB2312" w:eastAsia="仿宋_GB2312" w:cs="仿宋_GB2312"/>
                <w:bCs/>
                <w:color w:val="000000"/>
                <w:spacing w:val="6"/>
                <w:szCs w:val="28"/>
              </w:rPr>
              <w:t xml:space="preserve">. </w:t>
            </w:r>
            <w:r>
              <w:rPr>
                <w:rFonts w:hint="eastAsia" w:ascii="仿宋_GB2312" w:hAnsi="仿宋_GB2312" w:eastAsia="仿宋_GB2312" w:cs="仿宋_GB2312"/>
                <w:bCs/>
                <w:color w:val="000000"/>
                <w:spacing w:val="6"/>
                <w:szCs w:val="28"/>
              </w:rPr>
              <w:t>作品中能体现完整合理的研究思路（分值：1</w:t>
            </w:r>
            <w:r>
              <w:rPr>
                <w:rFonts w:ascii="仿宋_GB2312" w:hAnsi="仿宋_GB2312" w:eastAsia="仿宋_GB2312" w:cs="仿宋_GB2312"/>
                <w:bCs/>
                <w:color w:val="000000"/>
                <w:spacing w:val="6"/>
                <w:szCs w:val="28"/>
              </w:rPr>
              <w:t>0</w:t>
            </w:r>
            <w:r>
              <w:rPr>
                <w:rFonts w:hint="eastAsia" w:ascii="仿宋_GB2312" w:hAnsi="仿宋_GB2312" w:eastAsia="仿宋_GB2312" w:cs="仿宋_GB2312"/>
                <w:bCs/>
                <w:color w:val="000000"/>
                <w:spacing w:val="6"/>
                <w:szCs w:val="28"/>
              </w:rPr>
              <w:t>分）；</w:t>
            </w:r>
          </w:p>
          <w:p w14:paraId="1F0164D3">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2</w:t>
            </w:r>
            <w:r>
              <w:rPr>
                <w:rFonts w:ascii="仿宋_GB2312" w:hAnsi="仿宋_GB2312" w:eastAsia="仿宋_GB2312" w:cs="仿宋_GB2312"/>
                <w:bCs/>
                <w:color w:val="000000"/>
                <w:spacing w:val="6"/>
                <w:szCs w:val="28"/>
              </w:rPr>
              <w:t xml:space="preserve">. </w:t>
            </w:r>
            <w:r>
              <w:rPr>
                <w:rFonts w:hint="eastAsia" w:ascii="仿宋_GB2312" w:hAnsi="仿宋_GB2312" w:eastAsia="仿宋_GB2312" w:cs="仿宋_GB2312"/>
                <w:bCs/>
                <w:color w:val="000000"/>
                <w:spacing w:val="6"/>
                <w:szCs w:val="28"/>
              </w:rPr>
              <w:t>作品的研究技术路线兼顾科学性、创新性、可行性（分值：</w:t>
            </w:r>
            <w:r>
              <w:rPr>
                <w:rFonts w:ascii="仿宋_GB2312" w:hAnsi="仿宋_GB2312" w:eastAsia="仿宋_GB2312" w:cs="仿宋_GB2312"/>
                <w:bCs/>
                <w:color w:val="000000"/>
                <w:spacing w:val="6"/>
                <w:szCs w:val="28"/>
              </w:rPr>
              <w:t>20</w:t>
            </w:r>
            <w:r>
              <w:rPr>
                <w:rFonts w:hint="eastAsia" w:ascii="仿宋_GB2312" w:hAnsi="仿宋_GB2312" w:eastAsia="仿宋_GB2312" w:cs="仿宋_GB2312"/>
                <w:bCs/>
                <w:color w:val="000000"/>
                <w:spacing w:val="6"/>
                <w:szCs w:val="28"/>
              </w:rPr>
              <w:t>分）；</w:t>
            </w:r>
          </w:p>
          <w:p w14:paraId="1385AAC7">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lang w:eastAsia="zh-CN"/>
              </w:rPr>
              <w:t>（二）</w:t>
            </w:r>
            <w:r>
              <w:rPr>
                <w:rFonts w:hint="eastAsia" w:ascii="仿宋_GB2312" w:hAnsi="仿宋_GB2312" w:eastAsia="仿宋_GB2312" w:cs="仿宋_GB2312"/>
                <w:bCs/>
                <w:color w:val="000000"/>
                <w:spacing w:val="6"/>
                <w:szCs w:val="28"/>
              </w:rPr>
              <w:t>客观分</w:t>
            </w:r>
          </w:p>
          <w:p w14:paraId="09F549A5">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作品需要根据技术路线搭建模拟装置、招募受试者进行实验测试，要求受试者对于跑步运动及跑鞋具有一定的专业性，测试模型稳定可靠，通过专业测试设备，在标准测试流程下进行标定。</w:t>
            </w:r>
          </w:p>
          <w:p w14:paraId="2216FF02">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1. 完成跑鞋中底缓震主观感受的共识定义（分值：2</w:t>
            </w:r>
            <w:r>
              <w:rPr>
                <w:rFonts w:ascii="仿宋_GB2312" w:hAnsi="仿宋_GB2312" w:eastAsia="仿宋_GB2312" w:cs="仿宋_GB2312"/>
                <w:bCs/>
                <w:color w:val="000000"/>
                <w:spacing w:val="6"/>
                <w:szCs w:val="28"/>
              </w:rPr>
              <w:t>0</w:t>
            </w:r>
            <w:r>
              <w:rPr>
                <w:rFonts w:hint="eastAsia" w:ascii="仿宋_GB2312" w:hAnsi="仿宋_GB2312" w:eastAsia="仿宋_GB2312" w:cs="仿宋_GB2312"/>
                <w:bCs/>
                <w:color w:val="000000"/>
                <w:spacing w:val="6"/>
                <w:szCs w:val="28"/>
              </w:rPr>
              <w:t>分）；</w:t>
            </w:r>
          </w:p>
          <w:p w14:paraId="6741AED0">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 xml:space="preserve">2. </w:t>
            </w:r>
            <w:r>
              <w:rPr>
                <w:rFonts w:ascii="仿宋_GB2312" w:hAnsi="仿宋_GB2312" w:eastAsia="仿宋_GB2312" w:cs="仿宋_GB2312"/>
                <w:bCs/>
                <w:color w:val="000000"/>
                <w:spacing w:val="6"/>
                <w:szCs w:val="28"/>
              </w:rPr>
              <w:t>搭建跑鞋</w:t>
            </w:r>
            <w:r>
              <w:rPr>
                <w:rFonts w:hint="eastAsia" w:ascii="仿宋_GB2312" w:hAnsi="仿宋_GB2312" w:eastAsia="仿宋_GB2312" w:cs="仿宋_GB2312"/>
                <w:bCs/>
                <w:color w:val="000000"/>
                <w:spacing w:val="6"/>
                <w:szCs w:val="28"/>
              </w:rPr>
              <w:t>中底材料客观指标的</w:t>
            </w:r>
            <w:r>
              <w:rPr>
                <w:rFonts w:ascii="仿宋_GB2312" w:hAnsi="仿宋_GB2312" w:eastAsia="仿宋_GB2312" w:cs="仿宋_GB2312"/>
                <w:bCs/>
                <w:color w:val="000000"/>
                <w:spacing w:val="6"/>
                <w:szCs w:val="28"/>
              </w:rPr>
              <w:t>模拟</w:t>
            </w:r>
            <w:r>
              <w:rPr>
                <w:rFonts w:hint="eastAsia" w:ascii="仿宋_GB2312" w:hAnsi="仿宋_GB2312" w:eastAsia="仿宋_GB2312" w:cs="仿宋_GB2312"/>
                <w:bCs/>
                <w:color w:val="000000"/>
                <w:spacing w:val="6"/>
                <w:szCs w:val="28"/>
              </w:rPr>
              <w:t>装置</w:t>
            </w:r>
            <w:r>
              <w:rPr>
                <w:rFonts w:ascii="仿宋_GB2312" w:hAnsi="仿宋_GB2312" w:eastAsia="仿宋_GB2312" w:cs="仿宋_GB2312"/>
                <w:bCs/>
                <w:color w:val="000000"/>
                <w:spacing w:val="6"/>
                <w:szCs w:val="28"/>
              </w:rPr>
              <w:t>，招募合格受试者进行实验。通过</w:t>
            </w:r>
            <w:r>
              <w:rPr>
                <w:rFonts w:hint="eastAsia" w:ascii="仿宋_GB2312" w:hAnsi="仿宋_GB2312" w:eastAsia="仿宋_GB2312" w:cs="仿宋_GB2312"/>
                <w:bCs/>
                <w:color w:val="000000"/>
                <w:spacing w:val="6"/>
                <w:szCs w:val="28"/>
              </w:rPr>
              <w:t>装置</w:t>
            </w:r>
            <w:r>
              <w:rPr>
                <w:rFonts w:ascii="仿宋_GB2312" w:hAnsi="仿宋_GB2312" w:eastAsia="仿宋_GB2312" w:cs="仿宋_GB2312"/>
                <w:bCs/>
                <w:color w:val="000000"/>
                <w:spacing w:val="6"/>
                <w:szCs w:val="28"/>
              </w:rPr>
              <w:t>测试，成功建立客观指标与主观体验之间的量化映射关系</w:t>
            </w:r>
            <w:r>
              <w:rPr>
                <w:rFonts w:hint="eastAsia" w:ascii="仿宋_GB2312" w:hAnsi="仿宋_GB2312" w:eastAsia="仿宋_GB2312" w:cs="仿宋_GB2312"/>
                <w:bCs/>
                <w:color w:val="000000"/>
                <w:spacing w:val="6"/>
                <w:szCs w:val="28"/>
              </w:rPr>
              <w:t>（分值：4</w:t>
            </w:r>
            <w:r>
              <w:rPr>
                <w:rFonts w:ascii="仿宋_GB2312" w:hAnsi="仿宋_GB2312" w:eastAsia="仿宋_GB2312" w:cs="仿宋_GB2312"/>
                <w:bCs/>
                <w:color w:val="000000"/>
                <w:spacing w:val="6"/>
                <w:szCs w:val="28"/>
              </w:rPr>
              <w:t>0</w:t>
            </w:r>
            <w:r>
              <w:rPr>
                <w:rFonts w:hint="eastAsia" w:ascii="仿宋_GB2312" w:hAnsi="仿宋_GB2312" w:eastAsia="仿宋_GB2312" w:cs="仿宋_GB2312"/>
                <w:bCs/>
                <w:color w:val="000000"/>
                <w:spacing w:val="6"/>
                <w:szCs w:val="28"/>
              </w:rPr>
              <w:t>分）；</w:t>
            </w:r>
          </w:p>
          <w:p w14:paraId="416C15AD">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 xml:space="preserve">3. </w:t>
            </w:r>
            <w:r>
              <w:rPr>
                <w:rFonts w:ascii="仿宋_GB2312" w:hAnsi="仿宋_GB2312" w:eastAsia="仿宋_GB2312" w:cs="仿宋_GB2312"/>
                <w:bCs/>
                <w:color w:val="000000"/>
                <w:spacing w:val="6"/>
                <w:szCs w:val="28"/>
              </w:rPr>
              <w:t>提交规范、详实的受试者实验数据分析报告</w:t>
            </w:r>
            <w:r>
              <w:rPr>
                <w:rFonts w:hint="eastAsia" w:ascii="仿宋_GB2312" w:hAnsi="仿宋_GB2312" w:eastAsia="仿宋_GB2312" w:cs="仿宋_GB2312"/>
                <w:bCs/>
                <w:color w:val="000000"/>
                <w:spacing w:val="6"/>
                <w:szCs w:val="28"/>
              </w:rPr>
              <w:t>（</w:t>
            </w:r>
            <w:r>
              <w:rPr>
                <w:rFonts w:ascii="仿宋_GB2312" w:hAnsi="仿宋_GB2312" w:eastAsia="仿宋_GB2312" w:cs="仿宋_GB2312"/>
                <w:bCs/>
                <w:color w:val="000000"/>
                <w:spacing w:val="6"/>
                <w:szCs w:val="28"/>
              </w:rPr>
              <w:t>10</w:t>
            </w:r>
            <w:r>
              <w:rPr>
                <w:rFonts w:hint="eastAsia" w:ascii="仿宋_GB2312" w:hAnsi="仿宋_GB2312" w:eastAsia="仿宋_GB2312" w:cs="仿宋_GB2312"/>
                <w:bCs/>
                <w:color w:val="000000"/>
                <w:spacing w:val="6"/>
                <w:szCs w:val="28"/>
              </w:rPr>
              <w:t>分）。</w:t>
            </w:r>
          </w:p>
        </w:tc>
      </w:tr>
      <w:tr w14:paraId="2DDAA6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4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78970F1">
            <w:pPr>
              <w:overflowPunct w:val="0"/>
              <w:adjustRightInd w:val="0"/>
              <w:snapToGrid w:val="0"/>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DD46F1F">
            <w:pPr>
              <w:overflowPunct w:val="0"/>
              <w:adjustRightInd w:val="0"/>
              <w:snapToGrid w:val="0"/>
              <w:rPr>
                <w:rFonts w:ascii="仿宋_GB2312" w:hAnsi="仿宋_GB2312" w:eastAsia="仿宋_GB2312" w:cs="仿宋_GB2312"/>
                <w:bCs/>
                <w:color w:val="000000"/>
                <w:spacing w:val="6"/>
                <w:szCs w:val="28"/>
              </w:rPr>
            </w:pPr>
            <w:r>
              <w:rPr>
                <w:rFonts w:hint="eastAsia" w:ascii="仿宋_GB2312" w:hAnsi="仿宋_GB2312" w:eastAsia="仿宋_GB2312" w:cs="仿宋_GB2312"/>
                <w:color w:val="000000"/>
              </w:rPr>
              <w:t>无</w:t>
            </w:r>
          </w:p>
        </w:tc>
      </w:tr>
    </w:tbl>
    <w:p w14:paraId="79BA9545">
      <w:pPr>
        <w:tabs>
          <w:tab w:val="left" w:pos="8640"/>
        </w:tabs>
        <w:adjustRightInd w:val="0"/>
        <w:snapToGrid w:val="0"/>
        <w:spacing w:line="440" w:lineRule="exact"/>
        <w:rPr>
          <w:rFonts w:ascii="方正黑体简体" w:eastAsia="方正黑体简体"/>
          <w:bCs/>
          <w:spacing w:val="6"/>
          <w:sz w:val="32"/>
          <w:szCs w:val="32"/>
        </w:rPr>
      </w:pPr>
      <w:r>
        <w:rPr>
          <w:rFonts w:hint="eastAsia" w:ascii="方正黑体简体" w:eastAsia="方正黑体简体"/>
          <w:bCs/>
          <w:spacing w:val="6"/>
          <w:sz w:val="32"/>
          <w:szCs w:val="32"/>
        </w:rPr>
        <w:t>三、激励保障</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649255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414"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32D0660">
            <w:pPr>
              <w:adjustRightInd w:val="0"/>
              <w:snapToGrid w:val="0"/>
              <w:spacing w:line="560" w:lineRule="exact"/>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lang w:val="en-US"/>
              </w:rPr>
              <w:t>保障</w:t>
            </w:r>
            <w:r>
              <w:rPr>
                <w:rFonts w:hint="eastAsia" w:ascii="楷体_GB2312" w:hAnsi="楷体_GB2312" w:eastAsia="楷体_GB2312" w:cs="楷体_GB2312"/>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17C7778">
            <w:pPr>
              <w:adjustRightInd w:val="0"/>
              <w:snapToGrid w:val="0"/>
              <w:ind w:firstLine="480" w:firstLineChars="200"/>
              <w:jc w:val="both"/>
              <w:rPr>
                <w:rFonts w:ascii="仿宋_GB2312" w:hAnsi="仿宋_GB2312" w:eastAsia="仿宋_GB2312" w:cs="仿宋_GB2312"/>
                <w:bCs/>
                <w:color w:val="000000"/>
                <w:spacing w:val="6"/>
                <w:szCs w:val="28"/>
              </w:rPr>
            </w:pPr>
            <w:r>
              <w:rPr>
                <w:rFonts w:eastAsia="仿宋_GB2312"/>
                <w:lang w:val="en-US"/>
              </w:rPr>
              <w:t>本单位将为特等奖参赛团队提供短期参观访问机会及实验室资源支持，在参赛过程中配备专业的专家组为参赛团队关于题目的进行专业支持。</w:t>
            </w:r>
          </w:p>
        </w:tc>
      </w:tr>
      <w:tr w14:paraId="3F35AD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621"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3A2A3A2">
            <w:pPr>
              <w:adjustRightInd w:val="0"/>
              <w:snapToGrid w:val="0"/>
              <w:spacing w:line="560" w:lineRule="exact"/>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4399CDD">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一、奖项设置</w:t>
            </w:r>
          </w:p>
          <w:p w14:paraId="0645F666">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eastAsia="zh-CN"/>
              </w:rPr>
              <w:t>原则上设“擂主”团队1个，</w:t>
            </w:r>
            <w:r>
              <w:rPr>
                <w:rFonts w:hint="eastAsia" w:ascii="仿宋_GB2312" w:hAnsi="仿宋_GB2312" w:eastAsia="仿宋_GB2312" w:cs="仿宋_GB2312"/>
                <w:bCs/>
                <w:color w:val="000000"/>
                <w:spacing w:val="6"/>
                <w:szCs w:val="28"/>
                <w:lang w:val="en-US"/>
              </w:rPr>
              <w:t>根据实际情况评出相应的特等奖、一等奖、二等奖、三等奖项目若干。</w:t>
            </w:r>
          </w:p>
          <w:p w14:paraId="5FE0462A">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 xml:space="preserve">二、激励措施 </w:t>
            </w:r>
          </w:p>
          <w:p w14:paraId="29D77938">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 xml:space="preserve">1.带薪实习机会 </w:t>
            </w:r>
          </w:p>
          <w:p w14:paraId="64F9A022">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获奖选手可优先获得李宁运动科学应用研发中心的实习</w:t>
            </w:r>
          </w:p>
          <w:p w14:paraId="60B00173">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 xml:space="preserve">实践机会。 </w:t>
            </w:r>
          </w:p>
          <w:p w14:paraId="67EB1A42">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 xml:space="preserve">2.合作共赢 </w:t>
            </w:r>
          </w:p>
          <w:p w14:paraId="338B52AC">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若获奖团队的参赛方案可实际应用于产品开发，在无知</w:t>
            </w:r>
          </w:p>
          <w:p w14:paraId="076F1FCE">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 xml:space="preserve">识产权纠纷的前提下，将提供进一步合作开发机会。 </w:t>
            </w:r>
          </w:p>
          <w:p w14:paraId="1EFEABD1">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 xml:space="preserve">3.优惠券奖励 </w:t>
            </w:r>
          </w:p>
          <w:p w14:paraId="7313941A">
            <w:pPr>
              <w:adjustRightInd w:val="0"/>
              <w:snapToGrid w:val="0"/>
              <w:ind w:firstLine="504" w:firstLineChars="200"/>
              <w:jc w:val="both"/>
              <w:rPr>
                <w:rFonts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获奖选手可获得李宁品牌产品6折优惠券权益。</w:t>
            </w:r>
          </w:p>
        </w:tc>
      </w:tr>
    </w:tbl>
    <w:p w14:paraId="1D5F0521">
      <w:pPr>
        <w:tabs>
          <w:tab w:val="left" w:pos="8640"/>
        </w:tabs>
        <w:adjustRightInd w:val="0"/>
        <w:snapToGrid w:val="0"/>
        <w:spacing w:line="560" w:lineRule="exact"/>
        <w:rPr>
          <w:rFonts w:hint="eastAsia" w:ascii="方正黑体简体" w:eastAsia="方正黑体简体"/>
          <w:bCs/>
          <w:spacing w:val="6"/>
          <w:sz w:val="32"/>
          <w:szCs w:val="32"/>
          <w:lang w:val="en-US"/>
        </w:rPr>
      </w:pPr>
    </w:p>
    <w:p w14:paraId="415FC297">
      <w:pPr>
        <w:tabs>
          <w:tab w:val="left" w:pos="8640"/>
        </w:tabs>
        <w:adjustRightInd w:val="0"/>
        <w:snapToGrid w:val="0"/>
        <w:spacing w:line="560" w:lineRule="exact"/>
        <w:rPr>
          <w:rFonts w:hint="eastAsia" w:ascii="方正黑体简体" w:eastAsia="方正黑体简体"/>
          <w:bCs/>
          <w:spacing w:val="6"/>
          <w:sz w:val="32"/>
          <w:szCs w:val="32"/>
          <w:lang w:val="en-US"/>
        </w:rPr>
      </w:pPr>
    </w:p>
    <w:p w14:paraId="2F2FBD04">
      <w:pPr>
        <w:tabs>
          <w:tab w:val="left" w:pos="8640"/>
        </w:tabs>
        <w:adjustRightInd w:val="0"/>
        <w:snapToGrid w:val="0"/>
        <w:spacing w:line="560" w:lineRule="exact"/>
        <w:rPr>
          <w:rFonts w:hint="eastAsia" w:ascii="方正黑体简体" w:eastAsia="方正黑体简体"/>
          <w:bCs/>
          <w:spacing w:val="6"/>
          <w:sz w:val="32"/>
          <w:szCs w:val="32"/>
          <w:lang w:val="en-US"/>
        </w:rPr>
      </w:pPr>
      <w:r>
        <w:rPr>
          <w:rFonts w:hint="eastAsia" w:ascii="方正黑体简体" w:eastAsia="方正黑体简体"/>
          <w:bCs/>
          <w:spacing w:val="6"/>
          <w:sz w:val="32"/>
          <w:szCs w:val="32"/>
          <w:lang w:val="en-US"/>
        </w:rPr>
        <w:t>四、选题意义</w:t>
      </w:r>
    </w:p>
    <w:tbl>
      <w:tblPr>
        <w:tblStyle w:val="1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66F0D7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7DF8CD3B">
            <w:pPr>
              <w:overflowPunct w:val="0"/>
              <w:adjustRightInd w:val="0"/>
              <w:snapToGrid w:val="0"/>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E7D076">
            <w:pPr>
              <w:overflowPunct w:val="0"/>
              <w:adjustRightInd w:val="0"/>
              <w:snapToGrid w:val="0"/>
              <w:ind w:firstLine="480" w:firstLineChars="200"/>
              <w:rPr>
                <w:rFonts w:ascii="仿宋_GB2312" w:hAnsi="仿宋_GB2312" w:eastAsia="仿宋_GB2312" w:cs="仿宋_GB2312"/>
                <w:bCs/>
                <w:color w:val="000000"/>
                <w:spacing w:val="6"/>
                <w:szCs w:val="28"/>
              </w:rPr>
            </w:pPr>
            <w:r>
              <w:rPr>
                <w:rFonts w:eastAsia="仿宋_GB2312"/>
              </w:rPr>
              <w:t>本选题针对当前跑鞋研究过于依赖客观生物力学指标以及材料属性而缺乏对主观感受的量化映射的行业痛点，旨在建立客观物理特征与主观穿着体验之间的科学映射模型，并构建标准化的评价体系 。这将有效解决现有的跑鞋材料客观机械性能测试难以真实反映跑者穿着体验的难题，推动跑鞋研发向客观与主观结合的转变，为行业提供更加合理的跑鞋性能优化标准与理论依据。</w:t>
            </w:r>
          </w:p>
        </w:tc>
      </w:tr>
      <w:tr w14:paraId="4FF0FE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602CB4">
            <w:pPr>
              <w:overflowPunct w:val="0"/>
              <w:adjustRightInd w:val="0"/>
              <w:snapToGrid w:val="0"/>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78490F">
            <w:pPr>
              <w:overflowPunct w:val="0"/>
              <w:adjustRightInd w:val="0"/>
              <w:snapToGrid w:val="0"/>
              <w:ind w:firstLine="504" w:firstLineChars="200"/>
              <w:rPr>
                <w:rFonts w:ascii="仿宋_GB2312" w:hAnsi="仿宋_GB2312" w:eastAsia="仿宋_GB2312" w:cs="仿宋_GB2312"/>
                <w:bCs/>
                <w:color w:val="000000"/>
                <w:spacing w:val="6"/>
                <w:szCs w:val="28"/>
              </w:rPr>
            </w:pPr>
            <w:r>
              <w:rPr>
                <w:rFonts w:ascii="仿宋_GB2312" w:hAnsi="仿宋_GB2312" w:eastAsia="仿宋_GB2312" w:cs="仿宋_GB2312"/>
                <w:bCs/>
                <w:color w:val="000000"/>
                <w:spacing w:val="6"/>
                <w:szCs w:val="28"/>
              </w:rPr>
              <w:t>本项目的预期成果将产生显著的经济和社会效益。在经济效益上，该技术有望优化当前跑鞋的设计方法，通过</w:t>
            </w:r>
            <w:r>
              <w:rPr>
                <w:rFonts w:hint="eastAsia" w:ascii="仿宋_GB2312" w:hAnsi="仿宋_GB2312" w:eastAsia="仿宋_GB2312" w:cs="仿宋_GB2312"/>
                <w:bCs/>
                <w:color w:val="000000"/>
                <w:spacing w:val="6"/>
                <w:szCs w:val="28"/>
              </w:rPr>
              <w:t>主观缓震体验</w:t>
            </w:r>
            <w:r>
              <w:rPr>
                <w:rFonts w:ascii="仿宋_GB2312" w:hAnsi="仿宋_GB2312" w:eastAsia="仿宋_GB2312" w:cs="仿宋_GB2312"/>
                <w:bCs/>
                <w:color w:val="000000"/>
                <w:spacing w:val="6"/>
                <w:szCs w:val="28"/>
              </w:rPr>
              <w:t>评估模型降低企业研发的试错成本，助力国产跑鞋品牌向高科技、高质量发展转型。从社会效益角度出发，合理的跑鞋设计能够满足广大跑者对跑鞋这一运动设备的个性化需求，通过科学的装备匹配降低运动损伤风险，对于服务“健康中国”战略、促进全民健身活动的科学化开展具有重要的社会价值。</w:t>
            </w:r>
          </w:p>
        </w:tc>
      </w:tr>
    </w:tbl>
    <w:p w14:paraId="2EE438E4">
      <w:pPr>
        <w:tabs>
          <w:tab w:val="left" w:pos="8640"/>
        </w:tabs>
        <w:adjustRightInd w:val="0"/>
        <w:snapToGrid w:val="0"/>
        <w:spacing w:line="560" w:lineRule="exact"/>
        <w:rPr>
          <w:rFonts w:ascii="方正黑体简体" w:eastAsia="方正黑体简体"/>
          <w:bCs/>
          <w:spacing w:val="6"/>
          <w:sz w:val="32"/>
          <w:szCs w:val="32"/>
          <w:lang w:val="en-US"/>
        </w:rPr>
      </w:pPr>
    </w:p>
    <w:p w14:paraId="06F87F61">
      <w:pPr>
        <w:rPr>
          <w:rFonts w:ascii="方正黑体简体" w:eastAsia="方正黑体简体"/>
          <w:bCs/>
          <w:spacing w:val="6"/>
          <w:sz w:val="32"/>
          <w:szCs w:val="32"/>
          <w:lang w:val="en-US"/>
        </w:rPr>
      </w:pPr>
      <w:r>
        <w:rPr>
          <w:rFonts w:ascii="方正黑体简体" w:eastAsia="方正黑体简体"/>
          <w:bCs/>
          <w:spacing w:val="6"/>
          <w:sz w:val="32"/>
          <w:szCs w:val="32"/>
          <w:lang w:val="en-US"/>
        </w:rPr>
        <w:br w:type="page"/>
      </w:r>
    </w:p>
    <w:p w14:paraId="045A564F">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“青智未来”新质生产力</w:t>
      </w:r>
      <w:r>
        <w:rPr>
          <w:rFonts w:hint="default" w:ascii="Times New Roman" w:hAnsi="Times New Roman" w:eastAsia="方正小标宋简体" w:cs="Times New Roman"/>
          <w:b w:val="0"/>
          <w:bCs/>
          <w:kern w:val="2"/>
          <w:sz w:val="44"/>
          <w:szCs w:val="32"/>
          <w:highlight w:val="none"/>
          <w:lang w:val="en-US" w:eastAsia="zh-CN"/>
        </w:rPr>
        <w:t>专项赛</w:t>
      </w:r>
    </w:p>
    <w:p w14:paraId="1961F39D">
      <w:pPr>
        <w:keepNext w:val="0"/>
        <w:keepLines w:val="0"/>
        <w:pageBreakBefore w:val="0"/>
        <w:widowControl w:val="0"/>
        <w:tabs>
          <w:tab w:val="left" w:pos="8640"/>
        </w:tabs>
        <w:kinsoku/>
        <w:wordWrap w:val="0"/>
        <w:topLinePunct w:val="0"/>
        <w:autoSpaceDE/>
        <w:autoSpaceDN/>
        <w:bidi w:val="0"/>
        <w:adjustRightInd w:val="0"/>
        <w:snapToGrid w:val="0"/>
        <w:spacing w:line="560" w:lineRule="exact"/>
        <w:jc w:val="center"/>
        <w:rPr>
          <w:rFonts w:hint="eastAsia" w:ascii="Times New Roman" w:hAnsi="Times New Roman" w:eastAsia="方正小标宋简体" w:cs="Times New Roman"/>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—03</w:t>
      </w:r>
    </w:p>
    <w:p w14:paraId="72581ED4">
      <w:pPr>
        <w:keepNext w:val="0"/>
        <w:keepLines w:val="0"/>
        <w:pageBreakBefore w:val="0"/>
        <w:widowControl w:val="0"/>
        <w:tabs>
          <w:tab w:val="left" w:pos="8640"/>
        </w:tabs>
        <w:kinsoku/>
        <w:wordWrap w:val="0"/>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b w:val="0"/>
          <w:bCs/>
          <w:kern w:val="2"/>
          <w:sz w:val="32"/>
          <w:szCs w:val="22"/>
          <w:highlight w:val="none"/>
          <w:lang w:val="en-US" w:eastAsia="zh-CN"/>
        </w:rPr>
      </w:pPr>
    </w:p>
    <w:p w14:paraId="59EA5660">
      <w:pPr>
        <w:tabs>
          <w:tab w:val="left" w:pos="8640"/>
        </w:tabs>
        <w:adjustRightInd w:val="0"/>
        <w:snapToGrid w:val="0"/>
        <w:spacing w:line="560" w:lineRule="exact"/>
        <w:rPr>
          <w:rFonts w:hint="eastAsia" w:ascii="方正楷体简体" w:hAnsi="方正楷体简体" w:eastAsia="方正楷体简体" w:cs="方正楷体简体"/>
          <w:bCs/>
          <w:spacing w:val="6"/>
        </w:rPr>
      </w:pPr>
      <w:r>
        <w:rPr>
          <w:rFonts w:hint="eastAsia" w:ascii="方正黑体简体" w:eastAsia="方正黑体简体"/>
          <w:bCs/>
          <w:spacing w:val="6"/>
          <w:sz w:val="32"/>
          <w:szCs w:val="32"/>
        </w:rPr>
        <w:t>一、单位信息</w:t>
      </w:r>
    </w:p>
    <w:tbl>
      <w:tblPr>
        <w:tblStyle w:val="11"/>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137EC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6FB2A668">
            <w:pPr>
              <w:adjustRightInd w:val="0"/>
              <w:spacing w:line="560" w:lineRule="exact"/>
              <w:jc w:val="center"/>
              <w:rPr>
                <w:rFonts w:hint="eastAsia" w:ascii="楷体_GB2312" w:hAnsi="楷体_GB2312" w:eastAsia="楷体_GB2312" w:cs="楷体_GB2312"/>
                <w:sz w:val="28"/>
                <w:szCs w:val="32"/>
              </w:rPr>
            </w:pPr>
            <w:r>
              <w:rPr>
                <w:rFonts w:hint="eastAsia" w:ascii="楷体_GB2312" w:hAnsi="楷体_GB2312" w:eastAsia="楷体_GB2312" w:cs="楷体_GB2312"/>
                <w:sz w:val="28"/>
                <w:szCs w:val="32"/>
              </w:rPr>
              <w:t>单位名称</w:t>
            </w:r>
          </w:p>
        </w:tc>
        <w:tc>
          <w:tcPr>
            <w:tcW w:w="6932" w:type="dxa"/>
            <w:gridSpan w:val="3"/>
            <w:vAlign w:val="center"/>
          </w:tcPr>
          <w:p w14:paraId="400E6770">
            <w:pPr>
              <w:adjustRightInd w:val="0"/>
              <w:snapToGrid w:val="0"/>
              <w:jc w:val="center"/>
              <w:rPr>
                <w:rFonts w:hint="eastAsia" w:ascii="仿宋_GB2312" w:hAnsi="仿宋_GB2312" w:eastAsia="仿宋_GB2312" w:cs="仿宋_GB2312"/>
                <w:lang w:val="en-US"/>
              </w:rPr>
            </w:pPr>
            <w:r>
              <w:rPr>
                <w:rFonts w:hint="eastAsia" w:ascii="仿宋_GB2312" w:hAnsi="仿宋_GB2312" w:eastAsia="仿宋_GB2312" w:cs="仿宋_GB2312"/>
                <w:bCs/>
                <w:spacing w:val="6"/>
                <w:szCs w:val="28"/>
                <w:lang w:val="en-US"/>
              </w:rPr>
              <w:t>北京市朝阳区爱心语润智力残疾人康复服务中心</w:t>
            </w:r>
          </w:p>
        </w:tc>
      </w:tr>
      <w:tr w14:paraId="37ED5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45243291">
            <w:pPr>
              <w:adjustRightInd w:val="0"/>
              <w:snapToGrid w:val="0"/>
              <w:jc w:val="center"/>
              <w:rPr>
                <w:rFonts w:hint="eastAsia" w:ascii="楷体_GB2312" w:hAnsi="楷体_GB2312" w:eastAsia="楷体_GB2312" w:cs="楷体_GB2312"/>
                <w:bCs/>
                <w:spacing w:val="6"/>
                <w:szCs w:val="28"/>
                <w:lang w:val="en-US"/>
              </w:rPr>
            </w:pPr>
            <w:r>
              <w:rPr>
                <w:rFonts w:hint="eastAsia" w:ascii="楷体_GB2312" w:hAnsi="楷体_GB2312" w:eastAsia="楷体_GB2312" w:cs="楷体_GB2312"/>
                <w:sz w:val="28"/>
                <w:szCs w:val="32"/>
                <w:lang w:val="en-US"/>
              </w:rPr>
              <w:t>单位类型</w:t>
            </w:r>
          </w:p>
        </w:tc>
        <w:tc>
          <w:tcPr>
            <w:tcW w:w="6932" w:type="dxa"/>
            <w:gridSpan w:val="3"/>
            <w:vAlign w:val="center"/>
          </w:tcPr>
          <w:p w14:paraId="37766EE5">
            <w:pPr>
              <w:adjustRightInd w:val="0"/>
              <w:snapToGrid w:val="0"/>
              <w:jc w:val="center"/>
              <w:rPr>
                <w:rFonts w:hint="eastAsia" w:ascii="仿宋_GB2312" w:hAnsi="仿宋_GB2312" w:eastAsia="仿宋_GB2312" w:cs="仿宋_GB2312"/>
                <w:bCs/>
                <w:spacing w:val="6"/>
                <w:szCs w:val="28"/>
                <w:lang w:val="en-US"/>
              </w:rPr>
            </w:pPr>
            <w:r>
              <w:rPr>
                <w:rFonts w:hint="eastAsia" w:ascii="仿宋_GB2312" w:hAnsi="仿宋_GB2312" w:eastAsia="仿宋_GB2312" w:cs="仿宋_GB2312"/>
                <w:bCs/>
                <w:spacing w:val="6"/>
                <w:szCs w:val="28"/>
                <w:lang w:val="en-US"/>
              </w:rPr>
              <w:t>民办非企业</w:t>
            </w:r>
          </w:p>
        </w:tc>
      </w:tr>
      <w:tr w14:paraId="6E8D4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11AEA4FC">
            <w:pPr>
              <w:adjustRightInd w:val="0"/>
              <w:spacing w:line="560" w:lineRule="exact"/>
              <w:jc w:val="center"/>
              <w:rPr>
                <w:rFonts w:hint="eastAsia" w:ascii="楷体_GB2312" w:hAnsi="楷体_GB2312" w:eastAsia="楷体_GB2312" w:cs="楷体_GB2312"/>
                <w:sz w:val="28"/>
                <w:szCs w:val="32"/>
              </w:rPr>
            </w:pPr>
            <w:r>
              <w:rPr>
                <w:rFonts w:hint="eastAsia" w:ascii="楷体_GB2312" w:hAnsi="楷体_GB2312" w:eastAsia="楷体_GB2312" w:cs="楷体_GB2312"/>
                <w:sz w:val="28"/>
                <w:szCs w:val="32"/>
              </w:rPr>
              <w:t>地址</w:t>
            </w:r>
          </w:p>
        </w:tc>
        <w:tc>
          <w:tcPr>
            <w:tcW w:w="6932" w:type="dxa"/>
            <w:gridSpan w:val="3"/>
            <w:vAlign w:val="center"/>
          </w:tcPr>
          <w:p w14:paraId="7B5DBA9F">
            <w:pPr>
              <w:adjustRightInd w:val="0"/>
              <w:jc w:val="center"/>
              <w:rPr>
                <w:rFonts w:hint="eastAsia" w:ascii="仿宋_GB2312" w:hAnsi="仿宋_GB2312" w:eastAsia="仿宋_GB2312" w:cs="仿宋_GB2312"/>
              </w:rPr>
            </w:pPr>
            <w:r>
              <w:rPr>
                <w:rFonts w:hint="eastAsia" w:ascii="仿宋_GB2312" w:hAnsi="仿宋_GB2312" w:eastAsia="仿宋_GB2312" w:cs="仿宋_GB2312"/>
                <w:lang w:val="en-US"/>
              </w:rPr>
              <w:t>北京市</w:t>
            </w:r>
            <w:r>
              <w:rPr>
                <w:rFonts w:hint="eastAsia" w:ascii="仿宋_GB2312" w:hAnsi="仿宋_GB2312" w:eastAsia="仿宋_GB2312" w:cs="仿宋_GB2312"/>
              </w:rPr>
              <w:t>朝阳区</w:t>
            </w:r>
            <w:r>
              <w:rPr>
                <w:rFonts w:hint="eastAsia" w:ascii="仿宋_GB2312" w:hAnsi="仿宋_GB2312" w:eastAsia="仿宋_GB2312" w:cs="仿宋_GB2312"/>
                <w:lang w:val="en-US"/>
              </w:rPr>
              <w:t>王四营乡</w:t>
            </w:r>
            <w:r>
              <w:rPr>
                <w:rFonts w:hint="eastAsia" w:ascii="仿宋_GB2312" w:hAnsi="仿宋_GB2312" w:eastAsia="仿宋_GB2312" w:cs="仿宋_GB2312"/>
              </w:rPr>
              <w:t>观音堂文化园内</w:t>
            </w:r>
          </w:p>
        </w:tc>
      </w:tr>
      <w:tr w14:paraId="323A2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466327BC">
            <w:pPr>
              <w:adjustRightInd w:val="0"/>
              <w:spacing w:line="560" w:lineRule="exact"/>
              <w:jc w:val="center"/>
              <w:rPr>
                <w:rFonts w:hint="eastAsia" w:ascii="楷体_GB2312" w:hAnsi="楷体_GB2312" w:eastAsia="楷体_GB2312" w:cs="楷体_GB2312"/>
                <w:sz w:val="28"/>
                <w:szCs w:val="32"/>
              </w:rPr>
            </w:pPr>
            <w:r>
              <w:rPr>
                <w:rFonts w:hint="eastAsia" w:ascii="楷体_GB2312" w:hAnsi="楷体_GB2312" w:eastAsia="楷体_GB2312" w:cs="楷体_GB2312"/>
                <w:sz w:val="28"/>
                <w:szCs w:val="32"/>
                <w:lang w:val="en-US"/>
              </w:rPr>
              <w:t>单位</w:t>
            </w:r>
            <w:r>
              <w:rPr>
                <w:rFonts w:hint="eastAsia" w:ascii="楷体_GB2312" w:hAnsi="楷体_GB2312" w:eastAsia="楷体_GB2312" w:cs="楷体_GB2312"/>
                <w:sz w:val="28"/>
                <w:szCs w:val="32"/>
              </w:rPr>
              <w:t>简介</w:t>
            </w:r>
          </w:p>
        </w:tc>
        <w:tc>
          <w:tcPr>
            <w:tcW w:w="6932" w:type="dxa"/>
            <w:gridSpan w:val="3"/>
            <w:vAlign w:val="center"/>
          </w:tcPr>
          <w:p w14:paraId="3083EBB7">
            <w:pPr>
              <w:adjustRightInd w:val="0"/>
              <w:snapToGrid w:val="0"/>
              <w:ind w:firstLine="504" w:firstLineChars="200"/>
              <w:jc w:val="both"/>
              <w:rPr>
                <w:rFonts w:hint="eastAsia" w:ascii="仿宋_GB2312" w:hAnsi="仿宋_GB2312" w:eastAsia="仿宋_GB2312" w:cs="仿宋_GB2312"/>
                <w:bCs/>
                <w:color w:val="auto"/>
                <w:spacing w:val="6"/>
                <w:szCs w:val="28"/>
                <w:lang w:val="en-US"/>
              </w:rPr>
            </w:pPr>
            <w:r>
              <w:rPr>
                <w:rFonts w:hint="eastAsia" w:ascii="仿宋_GB2312" w:hAnsi="仿宋_GB2312" w:eastAsia="仿宋_GB2312" w:cs="仿宋_GB2312"/>
                <w:bCs/>
                <w:color w:val="auto"/>
                <w:spacing w:val="6"/>
                <w:szCs w:val="28"/>
                <w:lang w:val="en-US"/>
              </w:rPr>
              <w:t xml:space="preserve"> 北京市朝阳区爱心语润智力残疾人康复服务中心成立于 2017年4月，是经朝阳区民政局批准注册的民办非企业机构，业务主管单位为北京市朝阳区残疾人联合会。发展历程中，机构逐步实现规范化与专业化升级：2008年由孙大琴女士创立“爱心语润” 品牌基础；2017年2月成为“北京市残疾儿童康复定点机构”，同年10月成立党支部；2019 年被评为“优秀党支部”；2022 年获得社会组织4A评估等级。</w:t>
            </w:r>
          </w:p>
          <w:p w14:paraId="107CCDD4">
            <w:pPr>
              <w:adjustRightInd w:val="0"/>
              <w:snapToGrid w:val="0"/>
              <w:ind w:firstLine="504" w:firstLineChars="200"/>
              <w:jc w:val="both"/>
              <w:rPr>
                <w:rFonts w:hint="eastAsia" w:ascii="仿宋_GB2312" w:hAnsi="仿宋_GB2312" w:eastAsia="仿宋_GB2312" w:cs="仿宋_GB2312"/>
                <w:bCs/>
                <w:color w:val="auto"/>
                <w:spacing w:val="6"/>
                <w:szCs w:val="28"/>
                <w:lang w:val="en-US"/>
              </w:rPr>
            </w:pPr>
            <w:r>
              <w:rPr>
                <w:rFonts w:hint="eastAsia" w:ascii="仿宋_GB2312" w:hAnsi="仿宋_GB2312" w:eastAsia="仿宋_GB2312" w:cs="仿宋_GB2312"/>
                <w:bCs/>
                <w:color w:val="auto"/>
                <w:spacing w:val="6"/>
                <w:szCs w:val="28"/>
                <w:lang w:val="en-US"/>
              </w:rPr>
              <w:t xml:space="preserve">机构专注于为智力障碍、孤独症等心智障碍者提供康复训练、支持性教育、支持性生活和支持性就业服务，秉持专业服务理念，致力于帮助心智障碍群体提升生活自理与社会交往能力，更好地融入社会。  </w:t>
            </w:r>
          </w:p>
          <w:p w14:paraId="1C006BAB">
            <w:pPr>
              <w:adjustRightInd w:val="0"/>
              <w:snapToGrid w:val="0"/>
              <w:ind w:firstLine="504" w:firstLineChars="200"/>
              <w:jc w:val="both"/>
              <w:rPr>
                <w:rFonts w:hint="eastAsia" w:ascii="仿宋_GB2312" w:hAnsi="仿宋_GB2312" w:eastAsia="仿宋_GB2312" w:cs="仿宋_GB2312"/>
                <w:bCs/>
                <w:spacing w:val="6"/>
                <w:szCs w:val="28"/>
                <w:lang w:val="en-US"/>
              </w:rPr>
            </w:pPr>
          </w:p>
        </w:tc>
      </w:tr>
      <w:tr w14:paraId="1C84E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4F8E3BFE">
            <w:pPr>
              <w:adjustRightInd w:val="0"/>
              <w:snapToGrid w:val="0"/>
              <w:ind w:firstLine="280" w:firstLineChars="100"/>
              <w:jc w:val="both"/>
              <w:rPr>
                <w:rFonts w:hint="eastAsia" w:ascii="楷体_GB2312" w:hAnsi="楷体_GB2312" w:eastAsia="楷体_GB2312" w:cs="楷体_GB2312"/>
                <w:bCs/>
                <w:spacing w:val="6"/>
                <w:szCs w:val="28"/>
              </w:rPr>
            </w:pPr>
            <w:r>
              <w:rPr>
                <w:rFonts w:hint="eastAsia" w:ascii="楷体_GB2312" w:hAnsi="楷体_GB2312" w:eastAsia="楷体_GB2312" w:cs="楷体_GB2312"/>
                <w:sz w:val="28"/>
                <w:szCs w:val="32"/>
                <w:lang w:val="en-US"/>
              </w:rPr>
              <w:t>联系人</w:t>
            </w:r>
          </w:p>
        </w:tc>
        <w:tc>
          <w:tcPr>
            <w:tcW w:w="3076" w:type="dxa"/>
            <w:vAlign w:val="center"/>
          </w:tcPr>
          <w:p w14:paraId="31DC2BBD">
            <w:pPr>
              <w:adjustRightInd w:val="0"/>
              <w:snapToGrid w:val="0"/>
              <w:jc w:val="both"/>
              <w:rPr>
                <w:rFonts w:hint="eastAsia" w:ascii="仿宋_GB2312" w:hAnsi="仿宋_GB2312" w:eastAsia="仿宋_GB2312" w:cs="仿宋_GB2312"/>
                <w:bCs/>
                <w:spacing w:val="6"/>
                <w:szCs w:val="28"/>
                <w:lang w:val="en-US"/>
              </w:rPr>
            </w:pPr>
            <w:r>
              <w:rPr>
                <w:rFonts w:hint="eastAsia" w:ascii="仿宋_GB2312" w:hAnsi="仿宋_GB2312" w:eastAsia="仿宋_GB2312" w:cs="仿宋_GB2312"/>
                <w:bCs/>
                <w:spacing w:val="6"/>
                <w:szCs w:val="28"/>
                <w:lang w:val="en-US"/>
              </w:rPr>
              <w:t>王朗</w:t>
            </w:r>
          </w:p>
        </w:tc>
        <w:tc>
          <w:tcPr>
            <w:tcW w:w="1073" w:type="dxa"/>
            <w:vAlign w:val="center"/>
          </w:tcPr>
          <w:p w14:paraId="365FB39B">
            <w:pPr>
              <w:adjustRightInd w:val="0"/>
              <w:spacing w:line="560" w:lineRule="exact"/>
              <w:jc w:val="center"/>
              <w:rPr>
                <w:rFonts w:hint="eastAsia" w:ascii="楷体_GB2312" w:hAnsi="楷体_GB2312" w:eastAsia="楷体_GB2312" w:cs="楷体_GB2312"/>
                <w:sz w:val="28"/>
                <w:szCs w:val="32"/>
              </w:rPr>
            </w:pPr>
            <w:r>
              <w:rPr>
                <w:rFonts w:hint="eastAsia" w:ascii="楷体_GB2312" w:hAnsi="楷体_GB2312" w:eastAsia="楷体_GB2312" w:cs="楷体_GB2312"/>
                <w:sz w:val="28"/>
                <w:szCs w:val="32"/>
              </w:rPr>
              <w:t>职务</w:t>
            </w:r>
          </w:p>
        </w:tc>
        <w:tc>
          <w:tcPr>
            <w:tcW w:w="2783" w:type="dxa"/>
            <w:vAlign w:val="center"/>
          </w:tcPr>
          <w:p w14:paraId="1035E955">
            <w:pPr>
              <w:adjustRightInd w:val="0"/>
              <w:jc w:val="center"/>
              <w:rPr>
                <w:rFonts w:eastAsia="方正仿宋简体"/>
                <w:lang w:val="en-US"/>
              </w:rPr>
            </w:pPr>
            <w:r>
              <w:rPr>
                <w:rFonts w:hint="eastAsia" w:eastAsia="方正仿宋简体"/>
                <w:lang w:val="en-US"/>
              </w:rPr>
              <w:t>中心主任</w:t>
            </w:r>
          </w:p>
        </w:tc>
      </w:tr>
      <w:tr w14:paraId="5F2FC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242F1524">
            <w:pPr>
              <w:adjustRightInd w:val="0"/>
              <w:snapToGrid w:val="0"/>
              <w:jc w:val="center"/>
              <w:rPr>
                <w:rFonts w:hint="eastAsia" w:ascii="楷体_GB2312" w:hAnsi="楷体_GB2312" w:eastAsia="楷体_GB2312" w:cs="楷体_GB2312"/>
                <w:bCs/>
                <w:spacing w:val="6"/>
                <w:szCs w:val="28"/>
                <w:lang w:val="en-US"/>
              </w:rPr>
            </w:pPr>
            <w:r>
              <w:rPr>
                <w:rFonts w:hint="eastAsia" w:ascii="楷体_GB2312" w:hAnsi="楷体_GB2312" w:eastAsia="楷体_GB2312" w:cs="楷体_GB2312"/>
                <w:sz w:val="28"/>
                <w:szCs w:val="32"/>
                <w:lang w:val="en-US"/>
              </w:rPr>
              <w:t>联系方式</w:t>
            </w:r>
          </w:p>
        </w:tc>
        <w:tc>
          <w:tcPr>
            <w:tcW w:w="3076" w:type="dxa"/>
            <w:vAlign w:val="center"/>
          </w:tcPr>
          <w:p w14:paraId="31CC1BDE">
            <w:pPr>
              <w:adjustRightInd w:val="0"/>
              <w:snapToGrid w:val="0"/>
              <w:jc w:val="both"/>
              <w:rPr>
                <w:rFonts w:hint="eastAsia" w:ascii="仿宋_GB2312" w:hAnsi="仿宋_GB2312" w:eastAsia="仿宋_GB2312" w:cs="仿宋_GB2312"/>
                <w:bCs/>
                <w:spacing w:val="6"/>
                <w:szCs w:val="28"/>
                <w:lang w:val="en-US"/>
              </w:rPr>
            </w:pPr>
            <w:r>
              <w:rPr>
                <w:rFonts w:hint="eastAsia" w:ascii="仿宋_GB2312" w:hAnsi="仿宋_GB2312" w:eastAsia="仿宋_GB2312" w:cs="仿宋_GB2312"/>
                <w:bCs/>
                <w:spacing w:val="6"/>
                <w:szCs w:val="28"/>
                <w:lang w:val="en-US"/>
              </w:rPr>
              <w:t>18519040021</w:t>
            </w:r>
          </w:p>
        </w:tc>
        <w:tc>
          <w:tcPr>
            <w:tcW w:w="1073" w:type="dxa"/>
            <w:vAlign w:val="center"/>
          </w:tcPr>
          <w:p w14:paraId="1A1325EC">
            <w:pPr>
              <w:adjustRightInd w:val="0"/>
              <w:spacing w:line="560" w:lineRule="exact"/>
              <w:jc w:val="center"/>
              <w:rPr>
                <w:rFonts w:hint="eastAsia" w:ascii="楷体_GB2312" w:hAnsi="楷体_GB2312" w:eastAsia="楷体_GB2312" w:cs="楷体_GB2312"/>
                <w:sz w:val="28"/>
                <w:szCs w:val="32"/>
              </w:rPr>
            </w:pPr>
            <w:r>
              <w:rPr>
                <w:rFonts w:hint="eastAsia" w:ascii="楷体_GB2312" w:hAnsi="楷体_GB2312" w:eastAsia="楷体_GB2312" w:cs="楷体_GB2312"/>
                <w:sz w:val="28"/>
                <w:szCs w:val="32"/>
              </w:rPr>
              <w:t>微信</w:t>
            </w:r>
          </w:p>
        </w:tc>
        <w:tc>
          <w:tcPr>
            <w:tcW w:w="2783" w:type="dxa"/>
            <w:vAlign w:val="center"/>
          </w:tcPr>
          <w:p w14:paraId="463699A4">
            <w:pPr>
              <w:adjustRightInd w:val="0"/>
              <w:jc w:val="center"/>
              <w:rPr>
                <w:rFonts w:eastAsia="方正仿宋简体"/>
              </w:rPr>
            </w:pPr>
            <w:r>
              <w:rPr>
                <w:rFonts w:hint="eastAsia" w:ascii="仿宋_GB2312" w:hAnsi="仿宋_GB2312" w:eastAsia="仿宋_GB2312" w:cs="仿宋_GB2312"/>
                <w:bCs/>
                <w:spacing w:val="6"/>
                <w:szCs w:val="28"/>
                <w:lang w:val="en-US"/>
              </w:rPr>
              <w:t>18519040021</w:t>
            </w:r>
          </w:p>
        </w:tc>
      </w:tr>
    </w:tbl>
    <w:p w14:paraId="43CA11D9">
      <w:pPr>
        <w:tabs>
          <w:tab w:val="left" w:pos="8640"/>
        </w:tabs>
        <w:adjustRightInd w:val="0"/>
        <w:snapToGrid w:val="0"/>
        <w:spacing w:line="560" w:lineRule="exact"/>
        <w:rPr>
          <w:rFonts w:ascii="方正黑体简体" w:eastAsia="方正黑体简体"/>
          <w:bCs/>
          <w:spacing w:val="6"/>
          <w:sz w:val="32"/>
          <w:szCs w:val="32"/>
        </w:rPr>
      </w:pPr>
      <w:r>
        <w:rPr>
          <w:rFonts w:hint="eastAsia" w:ascii="方正黑体简体" w:eastAsia="方正黑体简体"/>
          <w:bCs/>
          <w:spacing w:val="6"/>
          <w:sz w:val="32"/>
          <w:szCs w:val="32"/>
        </w:rPr>
        <w:t>二、选题说明</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2E3B3B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98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7FC0CD1">
            <w:pPr>
              <w:adjustRightInd w:val="0"/>
              <w:snapToGrid w:val="0"/>
              <w:spacing w:line="560" w:lineRule="exact"/>
              <w:jc w:val="center"/>
              <w:rPr>
                <w:rFonts w:hint="eastAsia" w:ascii="楷体_GB2312" w:hAnsi="楷体_GB2312" w:eastAsia="楷体_GB2312" w:cs="楷体_GB2312"/>
                <w:color w:val="000000"/>
                <w:sz w:val="28"/>
                <w:szCs w:val="28"/>
              </w:rPr>
            </w:pPr>
            <w:bookmarkStart w:id="0" w:name="_Hlk219714452"/>
            <w:r>
              <w:rPr>
                <w:rFonts w:hint="eastAsia" w:ascii="楷体_GB2312" w:hAnsi="楷体_GB2312" w:eastAsia="楷体_GB2312" w:cs="楷体_GB2312"/>
                <w:color w:val="000000"/>
                <w:sz w:val="28"/>
                <w:szCs w:val="28"/>
                <w:lang w:val="en-US"/>
              </w:rPr>
              <w:t>选题</w:t>
            </w:r>
            <w:r>
              <w:rPr>
                <w:rFonts w:hint="eastAsia" w:ascii="楷体_GB2312" w:hAnsi="楷体_GB2312" w:eastAsia="楷体_GB2312" w:cs="楷体_GB2312"/>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4B1399E">
            <w:pPr>
              <w:adjustRightInd w:val="0"/>
              <w:snapToGrid w:val="0"/>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基于多模态情感</w:t>
            </w:r>
            <w:r>
              <w:rPr>
                <w:rFonts w:hint="eastAsia" w:ascii="仿宋_GB2312" w:hAnsi="仿宋_GB2312" w:eastAsia="仿宋_GB2312" w:cs="仿宋_GB2312"/>
                <w:color w:val="auto"/>
                <w:lang w:val="en-US"/>
              </w:rPr>
              <w:t>行为</w:t>
            </w:r>
            <w:r>
              <w:rPr>
                <w:rFonts w:hint="eastAsia" w:ascii="仿宋_GB2312" w:hAnsi="仿宋_GB2312" w:eastAsia="仿宋_GB2312" w:cs="仿宋_GB2312"/>
                <w:color w:val="auto"/>
              </w:rPr>
              <w:t>计算的自闭症谱系障碍（ASD）儿童社交技能个性化干预系统</w:t>
            </w:r>
          </w:p>
        </w:tc>
      </w:tr>
      <w:bookmarkEnd w:id="0"/>
      <w:tr w14:paraId="03B52C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8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EAC8B0B">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A4545A5">
            <w:pPr>
              <w:adjustRightInd w:val="0"/>
              <w:snapToGrid w:val="0"/>
              <w:jc w:val="center"/>
              <w:rPr>
                <w:rFonts w:hint="eastAsia" w:ascii="仿宋_GB2312" w:hAnsi="仿宋_GB2312" w:eastAsia="仿宋_GB2312" w:cs="仿宋_GB2312"/>
                <w:color w:val="auto"/>
              </w:rPr>
            </w:pPr>
            <w:r>
              <w:rPr>
                <w:rFonts w:hint="eastAsia" w:ascii="仿宋_GB2312" w:hAnsi="仿宋_GB2312" w:eastAsia="仿宋_GB2312" w:cs="仿宋_GB2312"/>
                <w:bCs/>
                <w:color w:val="auto"/>
                <w:spacing w:val="6"/>
                <w:szCs w:val="28"/>
              </w:rPr>
              <w:t>基层社会治理、学科交叉、科技赋能</w:t>
            </w:r>
          </w:p>
        </w:tc>
      </w:tr>
      <w:tr w14:paraId="0F9C77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3097"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87331AD">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377FFF5">
            <w:pPr>
              <w:adjustRightInd w:val="0"/>
              <w:snapToGrid w:val="0"/>
              <w:ind w:firstLine="504" w:firstLineChars="200"/>
              <w:jc w:val="both"/>
              <w:rPr>
                <w:rFonts w:hint="eastAsia" w:ascii="仿宋_GB2312" w:hAnsi="仿宋_GB2312" w:eastAsia="仿宋_GB2312" w:cs="仿宋_GB2312"/>
                <w:bCs/>
                <w:color w:val="auto"/>
                <w:spacing w:val="6"/>
                <w:szCs w:val="28"/>
                <w:lang w:val="en-US"/>
              </w:rPr>
            </w:pPr>
            <w:r>
              <w:rPr>
                <w:rFonts w:hint="eastAsia" w:ascii="仿宋_GB2312" w:hAnsi="仿宋_GB2312" w:eastAsia="仿宋_GB2312" w:cs="仿宋_GB2312"/>
                <w:bCs/>
                <w:color w:val="auto"/>
                <w:spacing w:val="6"/>
                <w:szCs w:val="28"/>
                <w:lang w:val="en-US"/>
              </w:rPr>
              <w:t>自闭症谱系障碍（ASD）儿童的核心障碍之一是社交沟通与情感理解困难。当前，一线康复机构和特教学校面临两大痛点：</w:t>
            </w:r>
          </w:p>
          <w:p w14:paraId="2E31A841">
            <w:pPr>
              <w:adjustRightInd w:val="0"/>
              <w:snapToGrid w:val="0"/>
              <w:ind w:firstLine="504" w:firstLineChars="200"/>
              <w:jc w:val="both"/>
              <w:rPr>
                <w:rFonts w:hint="eastAsia" w:ascii="仿宋_GB2312" w:hAnsi="仿宋_GB2312" w:eastAsia="仿宋_GB2312" w:cs="仿宋_GB2312"/>
                <w:bCs/>
                <w:color w:val="auto"/>
                <w:spacing w:val="6"/>
                <w:szCs w:val="28"/>
                <w:lang w:val="en-US"/>
              </w:rPr>
            </w:pPr>
          </w:p>
          <w:p w14:paraId="05B41A9C">
            <w:pPr>
              <w:adjustRightInd w:val="0"/>
              <w:snapToGrid w:val="0"/>
              <w:ind w:firstLine="504" w:firstLineChars="200"/>
              <w:jc w:val="both"/>
              <w:rPr>
                <w:rFonts w:hint="eastAsia" w:ascii="仿宋_GB2312" w:hAnsi="仿宋_GB2312" w:eastAsia="仿宋_GB2312" w:cs="仿宋_GB2312"/>
                <w:bCs/>
                <w:color w:val="auto"/>
                <w:spacing w:val="6"/>
                <w:szCs w:val="28"/>
                <w:lang w:val="en-US"/>
              </w:rPr>
            </w:pPr>
            <w:r>
              <w:rPr>
                <w:rFonts w:hint="eastAsia" w:ascii="仿宋_GB2312" w:hAnsi="仿宋_GB2312" w:eastAsia="仿宋_GB2312" w:cs="仿宋_GB2312"/>
                <w:bCs/>
                <w:color w:val="auto"/>
                <w:spacing w:val="6"/>
                <w:szCs w:val="28"/>
                <w:lang w:val="en-US"/>
              </w:rPr>
              <w:t>1. 干预资源稀缺且成本高：一对一的个性化社交技能训练严重依赖治疗师，人力成本高，覆盖范围有限，家庭经济与时间负担沉重。</w:t>
            </w:r>
          </w:p>
          <w:p w14:paraId="15F23287">
            <w:pPr>
              <w:adjustRightInd w:val="0"/>
              <w:snapToGrid w:val="0"/>
              <w:ind w:firstLine="504" w:firstLineChars="200"/>
              <w:jc w:val="both"/>
              <w:rPr>
                <w:rFonts w:hint="eastAsia" w:ascii="仿宋_GB2312" w:hAnsi="仿宋_GB2312" w:eastAsia="仿宋_GB2312" w:cs="仿宋_GB2312"/>
                <w:bCs/>
                <w:color w:val="auto"/>
                <w:spacing w:val="6"/>
                <w:szCs w:val="28"/>
                <w:lang w:val="en-US"/>
              </w:rPr>
            </w:pPr>
            <w:r>
              <w:rPr>
                <w:rFonts w:hint="eastAsia" w:ascii="仿宋_GB2312" w:hAnsi="仿宋_GB2312" w:eastAsia="仿宋_GB2312" w:cs="仿宋_GB2312"/>
                <w:bCs/>
                <w:color w:val="auto"/>
                <w:spacing w:val="6"/>
                <w:szCs w:val="28"/>
                <w:lang w:val="en-US"/>
              </w:rPr>
              <w:t>2. 训练场景刻板、泛化困难：传统干预多在固定场所进行，难以模拟复杂多变的真实社交场景，导致技能难以迁移到日常生活。</w:t>
            </w:r>
          </w:p>
          <w:p w14:paraId="120836D3">
            <w:pPr>
              <w:adjustRightInd w:val="0"/>
              <w:snapToGrid w:val="0"/>
              <w:ind w:firstLine="504" w:firstLineChars="200"/>
              <w:jc w:val="both"/>
              <w:rPr>
                <w:rFonts w:hint="eastAsia" w:ascii="仿宋_GB2312" w:hAnsi="仿宋_GB2312" w:eastAsia="仿宋_GB2312" w:cs="仿宋_GB2312"/>
                <w:bCs/>
                <w:color w:val="auto"/>
                <w:spacing w:val="6"/>
                <w:szCs w:val="28"/>
                <w:lang w:val="en-US"/>
              </w:rPr>
            </w:pPr>
          </w:p>
          <w:p w14:paraId="5A03C5F2">
            <w:pPr>
              <w:adjustRightInd w:val="0"/>
              <w:snapToGrid w:val="0"/>
              <w:ind w:firstLine="504" w:firstLineChars="200"/>
              <w:jc w:val="both"/>
              <w:rPr>
                <w:rFonts w:hint="eastAsia" w:ascii="仿宋_GB2312" w:hAnsi="仿宋_GB2312" w:eastAsia="仿宋_GB2312" w:cs="仿宋_GB2312"/>
                <w:bCs/>
                <w:color w:val="auto"/>
                <w:spacing w:val="6"/>
                <w:szCs w:val="28"/>
                <w:lang w:val="en-US"/>
              </w:rPr>
            </w:pPr>
            <w:r>
              <w:rPr>
                <w:rFonts w:hint="eastAsia" w:ascii="仿宋_GB2312" w:hAnsi="仿宋_GB2312" w:eastAsia="仿宋_GB2312" w:cs="仿宋_GB2312"/>
                <w:bCs/>
                <w:color w:val="auto"/>
                <w:spacing w:val="6"/>
                <w:szCs w:val="28"/>
                <w:lang w:val="en-US"/>
              </w:rPr>
              <w:t>首都北京作为首善之区，在推动科技赋能民生、建设包容性社会方面肩负着引领责任。利用“人工智能+”技术，开发普惠、高效、可及的干预工具，是回应社会关切、解决实际民生问题的迫切需求。</w:t>
            </w:r>
          </w:p>
          <w:p w14:paraId="254E1287">
            <w:pPr>
              <w:adjustRightInd w:val="0"/>
              <w:snapToGrid w:val="0"/>
              <w:ind w:firstLine="504" w:firstLineChars="200"/>
              <w:jc w:val="both"/>
              <w:rPr>
                <w:rFonts w:hint="eastAsia" w:ascii="仿宋_GB2312" w:hAnsi="仿宋_GB2312" w:eastAsia="仿宋_GB2312" w:cs="仿宋_GB2312"/>
                <w:bCs/>
                <w:color w:val="auto"/>
                <w:spacing w:val="6"/>
                <w:szCs w:val="28"/>
                <w:lang w:val="en-US"/>
              </w:rPr>
            </w:pPr>
            <w:r>
              <w:rPr>
                <w:rFonts w:hint="eastAsia" w:ascii="仿宋_GB2312" w:hAnsi="仿宋_GB2312" w:eastAsia="仿宋_GB2312" w:cs="仿宋_GB2312"/>
                <w:bCs/>
                <w:color w:val="auto"/>
                <w:spacing w:val="6"/>
                <w:szCs w:val="28"/>
                <w:lang w:val="en-US"/>
              </w:rPr>
              <w:t>核心任务： 设计并开发一套软硬件结合的Demo或系统原型，能够通过多模态情感识别技术，为ASD儿童提供实时、个性化、游戏化的社交情感训练与反馈。</w:t>
            </w:r>
          </w:p>
          <w:p w14:paraId="50AFF534">
            <w:pPr>
              <w:adjustRightInd w:val="0"/>
              <w:snapToGrid w:val="0"/>
              <w:ind w:firstLine="504" w:firstLineChars="200"/>
              <w:jc w:val="both"/>
              <w:rPr>
                <w:rFonts w:hint="eastAsia" w:ascii="仿宋_GB2312" w:hAnsi="仿宋_GB2312" w:eastAsia="仿宋_GB2312" w:cs="仿宋_GB2312"/>
                <w:bCs/>
                <w:color w:val="auto"/>
                <w:spacing w:val="6"/>
                <w:szCs w:val="28"/>
                <w:lang w:val="en-US"/>
              </w:rPr>
            </w:pPr>
          </w:p>
          <w:p w14:paraId="08FE6532">
            <w:pPr>
              <w:adjustRightInd w:val="0"/>
              <w:snapToGrid w:val="0"/>
              <w:ind w:firstLine="504" w:firstLineChars="200"/>
              <w:jc w:val="both"/>
              <w:rPr>
                <w:rFonts w:hint="eastAsia" w:ascii="仿宋_GB2312" w:hAnsi="仿宋_GB2312" w:eastAsia="仿宋_GB2312" w:cs="仿宋_GB2312"/>
                <w:bCs/>
                <w:color w:val="auto"/>
                <w:spacing w:val="6"/>
                <w:szCs w:val="28"/>
                <w:lang w:val="en-US"/>
              </w:rPr>
            </w:pPr>
            <w:r>
              <w:rPr>
                <w:rFonts w:hint="eastAsia" w:ascii="仿宋_GB2312" w:hAnsi="仿宋_GB2312" w:eastAsia="仿宋_GB2312" w:cs="仿宋_GB2312"/>
                <w:bCs/>
                <w:color w:val="auto"/>
                <w:spacing w:val="6"/>
                <w:szCs w:val="28"/>
                <w:lang w:val="en-US"/>
              </w:rPr>
              <w:t>具体技术/产品目标应包括以下一个或多个方面：</w:t>
            </w:r>
          </w:p>
          <w:p w14:paraId="0EDB46D6">
            <w:pPr>
              <w:adjustRightInd w:val="0"/>
              <w:snapToGrid w:val="0"/>
              <w:ind w:firstLine="504" w:firstLineChars="200"/>
              <w:jc w:val="both"/>
              <w:rPr>
                <w:rFonts w:hint="eastAsia" w:ascii="仿宋_GB2312" w:hAnsi="仿宋_GB2312" w:eastAsia="仿宋_GB2312" w:cs="仿宋_GB2312"/>
                <w:bCs/>
                <w:color w:val="auto"/>
                <w:spacing w:val="6"/>
                <w:szCs w:val="28"/>
                <w:lang w:val="en-US"/>
              </w:rPr>
            </w:pPr>
          </w:p>
          <w:p w14:paraId="0B120C7A">
            <w:pPr>
              <w:adjustRightInd w:val="0"/>
              <w:snapToGrid w:val="0"/>
              <w:ind w:firstLine="504" w:firstLineChars="200"/>
              <w:jc w:val="both"/>
              <w:rPr>
                <w:rFonts w:hint="eastAsia" w:ascii="仿宋_GB2312" w:hAnsi="仿宋_GB2312" w:eastAsia="仿宋_GB2312" w:cs="仿宋_GB2312"/>
                <w:bCs/>
                <w:color w:val="auto"/>
                <w:spacing w:val="6"/>
                <w:szCs w:val="28"/>
                <w:lang w:val="en-US"/>
              </w:rPr>
            </w:pPr>
            <w:r>
              <w:rPr>
                <w:rFonts w:hint="eastAsia" w:ascii="仿宋_GB2312" w:hAnsi="仿宋_GB2312" w:eastAsia="仿宋_GB2312" w:cs="仿宋_GB2312"/>
                <w:bCs/>
                <w:color w:val="auto"/>
                <w:spacing w:val="6"/>
                <w:szCs w:val="28"/>
                <w:lang w:val="en-US"/>
              </w:rPr>
              <w:t>1. 多模态情绪/行为感知模块：</w:t>
            </w:r>
          </w:p>
          <w:p w14:paraId="18C13EC1">
            <w:pPr>
              <w:adjustRightInd w:val="0"/>
              <w:snapToGrid w:val="0"/>
              <w:ind w:firstLine="504" w:firstLineChars="200"/>
              <w:jc w:val="both"/>
              <w:rPr>
                <w:rFonts w:hint="eastAsia" w:ascii="仿宋_GB2312" w:hAnsi="仿宋_GB2312" w:eastAsia="仿宋_GB2312" w:cs="仿宋_GB2312"/>
                <w:bCs/>
                <w:color w:val="auto"/>
                <w:spacing w:val="6"/>
                <w:szCs w:val="28"/>
                <w:lang w:val="en-US"/>
              </w:rPr>
            </w:pPr>
            <w:r>
              <w:rPr>
                <w:rFonts w:hint="eastAsia" w:ascii="仿宋_GB2312" w:hAnsi="仿宋_GB2312" w:eastAsia="仿宋_GB2312" w:cs="仿宋_GB2312"/>
                <w:bCs/>
                <w:color w:val="auto"/>
                <w:spacing w:val="6"/>
                <w:szCs w:val="28"/>
                <w:lang w:val="en-US"/>
              </w:rPr>
              <w:t>能通过摄像头实时识别训练对象（儿童）的面部表情（如快乐、悲伤、愤怒、惊讶、恐惧等基本情绪）或异常行为表现。</w:t>
            </w:r>
          </w:p>
          <w:p w14:paraId="2948BFB6">
            <w:pPr>
              <w:adjustRightInd w:val="0"/>
              <w:snapToGrid w:val="0"/>
              <w:ind w:firstLine="504" w:firstLineChars="200"/>
              <w:jc w:val="both"/>
              <w:rPr>
                <w:rFonts w:hint="eastAsia" w:ascii="仿宋_GB2312" w:hAnsi="仿宋_GB2312" w:eastAsia="仿宋_GB2312" w:cs="仿宋_GB2312"/>
                <w:bCs/>
                <w:color w:val="auto"/>
                <w:spacing w:val="6"/>
                <w:szCs w:val="28"/>
                <w:lang w:val="en-US"/>
              </w:rPr>
            </w:pPr>
            <w:r>
              <w:rPr>
                <w:rFonts w:hint="eastAsia" w:ascii="仿宋_GB2312" w:hAnsi="仿宋_GB2312" w:eastAsia="仿宋_GB2312" w:cs="仿宋_GB2312"/>
                <w:bCs/>
                <w:color w:val="auto"/>
                <w:spacing w:val="6"/>
                <w:szCs w:val="28"/>
                <w:lang w:val="en-US"/>
              </w:rPr>
              <w:t>能通过麦克风分析语音的语调、节奏和音量，辅助判断说话时的情绪状态。</w:t>
            </w:r>
          </w:p>
          <w:p w14:paraId="7102D0B5">
            <w:pPr>
              <w:adjustRightInd w:val="0"/>
              <w:snapToGrid w:val="0"/>
              <w:ind w:firstLine="504" w:firstLineChars="200"/>
              <w:jc w:val="both"/>
              <w:rPr>
                <w:rFonts w:hint="eastAsia" w:ascii="仿宋_GB2312" w:hAnsi="仿宋_GB2312" w:eastAsia="仿宋_GB2312" w:cs="仿宋_GB2312"/>
                <w:bCs/>
                <w:color w:val="auto"/>
                <w:spacing w:val="6"/>
                <w:szCs w:val="28"/>
                <w:lang w:val="en-US"/>
              </w:rPr>
            </w:pPr>
            <w:r>
              <w:rPr>
                <w:rFonts w:hint="eastAsia" w:ascii="仿宋_GB2312" w:hAnsi="仿宋_GB2312" w:eastAsia="仿宋_GB2312" w:cs="仿宋_GB2312"/>
                <w:bCs/>
                <w:color w:val="auto"/>
                <w:spacing w:val="6"/>
                <w:szCs w:val="28"/>
                <w:lang w:val="en-US"/>
              </w:rPr>
              <w:t>（进阶）能结合简单的生物传感器（如心率手环）数据，综合判断儿童的焦虑或兴奋水平。</w:t>
            </w:r>
          </w:p>
          <w:p w14:paraId="17910BDE">
            <w:pPr>
              <w:adjustRightInd w:val="0"/>
              <w:snapToGrid w:val="0"/>
              <w:ind w:firstLine="504" w:firstLineChars="200"/>
              <w:jc w:val="both"/>
              <w:rPr>
                <w:rFonts w:hint="eastAsia" w:ascii="仿宋_GB2312" w:hAnsi="仿宋_GB2312" w:eastAsia="仿宋_GB2312" w:cs="仿宋_GB2312"/>
                <w:bCs/>
                <w:color w:val="auto"/>
                <w:spacing w:val="6"/>
                <w:szCs w:val="28"/>
                <w:lang w:val="en-US"/>
              </w:rPr>
            </w:pPr>
            <w:r>
              <w:rPr>
                <w:rFonts w:hint="eastAsia" w:ascii="仿宋_GB2312" w:hAnsi="仿宋_GB2312" w:eastAsia="仿宋_GB2312" w:cs="仿宋_GB2312"/>
                <w:bCs/>
                <w:color w:val="auto"/>
                <w:spacing w:val="6"/>
                <w:szCs w:val="28"/>
                <w:lang w:val="en-US"/>
              </w:rPr>
              <w:t>2. 自适应交互与干预引擎：</w:t>
            </w:r>
          </w:p>
          <w:p w14:paraId="762F954E">
            <w:pPr>
              <w:adjustRightInd w:val="0"/>
              <w:snapToGrid w:val="0"/>
              <w:ind w:firstLine="504" w:firstLineChars="200"/>
              <w:jc w:val="both"/>
              <w:rPr>
                <w:rFonts w:hint="eastAsia" w:ascii="仿宋_GB2312" w:hAnsi="仿宋_GB2312" w:eastAsia="仿宋_GB2312" w:cs="仿宋_GB2312"/>
                <w:bCs/>
                <w:color w:val="auto"/>
                <w:spacing w:val="6"/>
                <w:szCs w:val="28"/>
                <w:lang w:val="en-US"/>
              </w:rPr>
            </w:pPr>
            <w:r>
              <w:rPr>
                <w:rFonts w:hint="eastAsia" w:ascii="仿宋_GB2312" w:hAnsi="仿宋_GB2312" w:eastAsia="仿宋_GB2312" w:cs="仿宋_GB2312"/>
                <w:bCs/>
                <w:color w:val="auto"/>
                <w:spacing w:val="6"/>
                <w:szCs w:val="28"/>
                <w:lang w:val="en-US"/>
              </w:rPr>
              <w:t>根据识别到的儿童情绪状态，系统能动态调整训练难度或提供实时提示。例如，当系统检测到儿童在模拟“分享玩具”等场景中出现困惑表情时，自动弹出视觉提示卡片或引导语。</w:t>
            </w:r>
          </w:p>
          <w:p w14:paraId="558AFBC9">
            <w:pPr>
              <w:adjustRightInd w:val="0"/>
              <w:snapToGrid w:val="0"/>
              <w:ind w:firstLine="504" w:firstLineChars="200"/>
              <w:jc w:val="both"/>
              <w:rPr>
                <w:rFonts w:hint="eastAsia" w:ascii="仿宋_GB2312" w:hAnsi="仿宋_GB2312" w:eastAsia="仿宋_GB2312" w:cs="仿宋_GB2312"/>
                <w:bCs/>
                <w:color w:val="auto"/>
                <w:spacing w:val="6"/>
                <w:szCs w:val="28"/>
                <w:lang w:val="en-US"/>
              </w:rPr>
            </w:pPr>
            <w:r>
              <w:rPr>
                <w:rFonts w:hint="eastAsia" w:ascii="仿宋_GB2312" w:hAnsi="仿宋_GB2312" w:eastAsia="仿宋_GB2312" w:cs="仿宋_GB2312"/>
                <w:bCs/>
                <w:color w:val="auto"/>
                <w:spacing w:val="6"/>
                <w:szCs w:val="28"/>
                <w:lang w:val="en-US"/>
              </w:rPr>
              <w:t>内置多种社交场景模拟（如打招呼、轮流游戏、识别他人情绪、应对挫折等），并能根据儿童的表现数据（正确率、反应时间、情绪反应）推荐下一步训练内容。</w:t>
            </w:r>
          </w:p>
          <w:p w14:paraId="4AFA83D1">
            <w:pPr>
              <w:adjustRightInd w:val="0"/>
              <w:snapToGrid w:val="0"/>
              <w:ind w:firstLine="504" w:firstLineChars="200"/>
              <w:jc w:val="both"/>
              <w:rPr>
                <w:rFonts w:hint="eastAsia" w:ascii="仿宋_GB2312" w:hAnsi="仿宋_GB2312" w:eastAsia="仿宋_GB2312" w:cs="仿宋_GB2312"/>
                <w:bCs/>
                <w:color w:val="auto"/>
                <w:spacing w:val="6"/>
                <w:szCs w:val="28"/>
                <w:lang w:val="en-US"/>
              </w:rPr>
            </w:pPr>
            <w:r>
              <w:rPr>
                <w:rFonts w:hint="eastAsia" w:ascii="仿宋_GB2312" w:hAnsi="仿宋_GB2312" w:eastAsia="仿宋_GB2312" w:cs="仿宋_GB2312"/>
                <w:bCs/>
                <w:color w:val="auto"/>
                <w:spacing w:val="6"/>
                <w:szCs w:val="28"/>
                <w:lang w:val="en-US"/>
              </w:rPr>
              <w:t>3. 人机交互与反馈设计：</w:t>
            </w:r>
          </w:p>
          <w:p w14:paraId="7009CE46">
            <w:pPr>
              <w:adjustRightInd w:val="0"/>
              <w:snapToGrid w:val="0"/>
              <w:ind w:firstLine="504" w:firstLineChars="200"/>
              <w:jc w:val="both"/>
              <w:rPr>
                <w:rFonts w:hint="eastAsia" w:ascii="仿宋_GB2312" w:hAnsi="仿宋_GB2312" w:eastAsia="仿宋_GB2312" w:cs="仿宋_GB2312"/>
                <w:bCs/>
                <w:color w:val="auto"/>
                <w:spacing w:val="6"/>
                <w:szCs w:val="28"/>
                <w:lang w:val="en-US"/>
              </w:rPr>
            </w:pPr>
            <w:r>
              <w:rPr>
                <w:rFonts w:hint="eastAsia" w:ascii="仿宋_GB2312" w:hAnsi="仿宋_GB2312" w:eastAsia="仿宋_GB2312" w:cs="仿宋_GB2312"/>
                <w:bCs/>
                <w:color w:val="auto"/>
                <w:spacing w:val="6"/>
                <w:szCs w:val="28"/>
                <w:lang w:val="en-US"/>
              </w:rPr>
              <w:t>设计适合ASD儿童认知特点的友好、简洁、强化的交互界面（避免过度刺激）。</w:t>
            </w:r>
          </w:p>
          <w:p w14:paraId="6C18FD09">
            <w:pPr>
              <w:adjustRightInd w:val="0"/>
              <w:snapToGrid w:val="0"/>
              <w:ind w:firstLine="504" w:firstLineChars="200"/>
              <w:jc w:val="both"/>
              <w:rPr>
                <w:rFonts w:hint="eastAsia" w:ascii="仿宋_GB2312" w:hAnsi="仿宋_GB2312" w:eastAsia="仿宋_GB2312" w:cs="仿宋_GB2312"/>
                <w:bCs/>
                <w:color w:val="auto"/>
                <w:spacing w:val="6"/>
                <w:szCs w:val="28"/>
                <w:lang w:val="en-US"/>
              </w:rPr>
            </w:pPr>
            <w:r>
              <w:rPr>
                <w:rFonts w:hint="eastAsia" w:ascii="仿宋_GB2312" w:hAnsi="仿宋_GB2312" w:eastAsia="仿宋_GB2312" w:cs="仿宋_GB2312"/>
                <w:bCs/>
                <w:color w:val="auto"/>
                <w:spacing w:val="6"/>
                <w:szCs w:val="28"/>
                <w:lang w:val="en-US"/>
              </w:rPr>
              <w:t>4. 数据分析与报告模块：</w:t>
            </w:r>
          </w:p>
          <w:p w14:paraId="286537E4">
            <w:pPr>
              <w:adjustRightInd w:val="0"/>
              <w:snapToGrid w:val="0"/>
              <w:ind w:firstLine="504" w:firstLineChars="200"/>
              <w:jc w:val="both"/>
              <w:rPr>
                <w:rFonts w:hint="eastAsia" w:ascii="仿宋_GB2312" w:hAnsi="仿宋_GB2312" w:eastAsia="仿宋_GB2312" w:cs="仿宋_GB2312"/>
                <w:bCs/>
                <w:color w:val="auto"/>
                <w:spacing w:val="6"/>
                <w:szCs w:val="28"/>
                <w:lang w:val="en-US"/>
              </w:rPr>
            </w:pPr>
            <w:r>
              <w:rPr>
                <w:rFonts w:hint="eastAsia" w:ascii="仿宋_GB2312" w:hAnsi="仿宋_GB2312" w:eastAsia="仿宋_GB2312" w:cs="仿宋_GB2312"/>
                <w:bCs/>
                <w:color w:val="auto"/>
                <w:spacing w:val="6"/>
                <w:szCs w:val="28"/>
                <w:lang w:val="en-US"/>
              </w:rPr>
              <w:t>系统能记录每次训练的过程性数据，并自动生成可视化进展报告，供治疗师或家长评估训练效果、调整方案。</w:t>
            </w:r>
          </w:p>
        </w:tc>
      </w:tr>
      <w:tr w14:paraId="214686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9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57027AB">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CC5D1CF">
            <w:pPr>
              <w:adjustRightInd w:val="0"/>
              <w:snapToGrid w:val="0"/>
              <w:ind w:firstLine="504" w:firstLineChars="200"/>
              <w:rPr>
                <w:rFonts w:hint="eastAsia" w:ascii="仿宋_GB2312" w:hAnsi="仿宋_GB2312" w:eastAsia="仿宋_GB2312" w:cs="仿宋_GB2312"/>
                <w:bCs/>
                <w:color w:val="auto"/>
                <w:spacing w:val="6"/>
                <w:szCs w:val="28"/>
              </w:rPr>
            </w:pPr>
            <w:r>
              <w:rPr>
                <w:rFonts w:hint="eastAsia" w:ascii="仿宋_GB2312" w:hAnsi="仿宋_GB2312" w:eastAsia="仿宋_GB2312" w:cs="仿宋_GB2312"/>
                <w:bCs/>
                <w:color w:val="auto"/>
                <w:spacing w:val="6"/>
                <w:szCs w:val="28"/>
              </w:rPr>
              <w:t>1. 必交成果：</w:t>
            </w:r>
          </w:p>
          <w:p w14:paraId="43C56DE5">
            <w:pPr>
              <w:adjustRightInd w:val="0"/>
              <w:snapToGrid w:val="0"/>
              <w:ind w:firstLine="504" w:firstLineChars="200"/>
              <w:rPr>
                <w:rFonts w:hint="eastAsia" w:ascii="仿宋_GB2312" w:hAnsi="仿宋_GB2312" w:eastAsia="仿宋_GB2312" w:cs="仿宋_GB2312"/>
                <w:bCs/>
                <w:color w:val="auto"/>
                <w:spacing w:val="6"/>
                <w:szCs w:val="28"/>
              </w:rPr>
            </w:pPr>
            <w:r>
              <w:rPr>
                <w:rFonts w:hint="eastAsia" w:ascii="仿宋_GB2312" w:hAnsi="仿宋_GB2312" w:eastAsia="仿宋_GB2312" w:cs="仿宋_GB2312"/>
                <w:bCs/>
                <w:color w:val="auto"/>
                <w:spacing w:val="6"/>
                <w:szCs w:val="28"/>
              </w:rPr>
              <w:t>完整的项目方案与技术报告：阐述系统设计原理、技术架构、创新点及社会应用前景。</w:t>
            </w:r>
          </w:p>
          <w:p w14:paraId="0928E773">
            <w:pPr>
              <w:adjustRightInd w:val="0"/>
              <w:snapToGrid w:val="0"/>
              <w:ind w:firstLine="504" w:firstLineChars="200"/>
              <w:rPr>
                <w:rFonts w:hint="eastAsia" w:ascii="仿宋_GB2312" w:hAnsi="仿宋_GB2312" w:eastAsia="仿宋_GB2312" w:cs="仿宋_GB2312"/>
                <w:bCs/>
                <w:color w:val="auto"/>
                <w:spacing w:val="6"/>
                <w:szCs w:val="28"/>
              </w:rPr>
            </w:pPr>
            <w:r>
              <w:rPr>
                <w:rFonts w:hint="eastAsia" w:ascii="仿宋_GB2312" w:hAnsi="仿宋_GB2312" w:eastAsia="仿宋_GB2312" w:cs="仿宋_GB2312"/>
                <w:bCs/>
                <w:color w:val="auto"/>
                <w:spacing w:val="6"/>
                <w:szCs w:val="28"/>
              </w:rPr>
              <w:t>可运行的系统原型或功能演示Demo：展示核心功能（如情绪</w:t>
            </w:r>
            <w:r>
              <w:rPr>
                <w:rFonts w:hint="eastAsia" w:ascii="仿宋_GB2312" w:hAnsi="仿宋_GB2312" w:eastAsia="仿宋_GB2312" w:cs="仿宋_GB2312"/>
                <w:bCs/>
                <w:color w:val="auto"/>
                <w:spacing w:val="6"/>
                <w:szCs w:val="28"/>
                <w:lang w:val="en-US"/>
              </w:rPr>
              <w:t>行为</w:t>
            </w:r>
            <w:r>
              <w:rPr>
                <w:rFonts w:hint="eastAsia" w:ascii="仿宋_GB2312" w:hAnsi="仿宋_GB2312" w:eastAsia="仿宋_GB2312" w:cs="仿宋_GB2312"/>
                <w:bCs/>
                <w:color w:val="auto"/>
                <w:spacing w:val="6"/>
                <w:szCs w:val="28"/>
              </w:rPr>
              <w:t>识别、一个完整的社交场景交互流程）。</w:t>
            </w:r>
          </w:p>
          <w:p w14:paraId="3D9353AE">
            <w:pPr>
              <w:adjustRightInd w:val="0"/>
              <w:snapToGrid w:val="0"/>
              <w:ind w:firstLine="504" w:firstLineChars="200"/>
              <w:rPr>
                <w:rFonts w:hint="eastAsia" w:ascii="仿宋_GB2312" w:hAnsi="仿宋_GB2312" w:eastAsia="仿宋_GB2312" w:cs="仿宋_GB2312"/>
                <w:bCs/>
                <w:color w:val="auto"/>
                <w:spacing w:val="6"/>
                <w:szCs w:val="28"/>
              </w:rPr>
            </w:pPr>
            <w:r>
              <w:rPr>
                <w:rFonts w:hint="eastAsia" w:ascii="仿宋_GB2312" w:hAnsi="仿宋_GB2312" w:eastAsia="仿宋_GB2312" w:cs="仿宋_GB2312"/>
                <w:bCs/>
                <w:color w:val="auto"/>
                <w:spacing w:val="6"/>
                <w:szCs w:val="28"/>
              </w:rPr>
              <w:t>针对至少一个具体社交场景（如“情绪</w:t>
            </w:r>
            <w:r>
              <w:rPr>
                <w:rFonts w:hint="eastAsia" w:ascii="仿宋_GB2312" w:hAnsi="仿宋_GB2312" w:eastAsia="仿宋_GB2312" w:cs="仿宋_GB2312"/>
                <w:bCs/>
                <w:color w:val="auto"/>
                <w:spacing w:val="6"/>
                <w:szCs w:val="28"/>
                <w:lang w:val="en-US"/>
              </w:rPr>
              <w:t>/行为</w:t>
            </w:r>
            <w:r>
              <w:rPr>
                <w:rFonts w:hint="eastAsia" w:ascii="仿宋_GB2312" w:hAnsi="仿宋_GB2312" w:eastAsia="仿宋_GB2312" w:cs="仿宋_GB2312"/>
                <w:bCs/>
                <w:color w:val="auto"/>
                <w:spacing w:val="6"/>
                <w:szCs w:val="28"/>
              </w:rPr>
              <w:t>识别”或“发起对话”）的初步有效性测试方案。</w:t>
            </w:r>
          </w:p>
          <w:p w14:paraId="53760EAB">
            <w:pPr>
              <w:adjustRightInd w:val="0"/>
              <w:snapToGrid w:val="0"/>
              <w:ind w:firstLine="504" w:firstLineChars="200"/>
              <w:rPr>
                <w:rFonts w:hint="eastAsia" w:ascii="仿宋_GB2312" w:hAnsi="仿宋_GB2312" w:eastAsia="仿宋_GB2312" w:cs="仿宋_GB2312"/>
                <w:bCs/>
                <w:color w:val="auto"/>
                <w:spacing w:val="6"/>
                <w:szCs w:val="28"/>
              </w:rPr>
            </w:pPr>
            <w:r>
              <w:rPr>
                <w:rFonts w:hint="eastAsia" w:ascii="仿宋_GB2312" w:hAnsi="仿宋_GB2312" w:eastAsia="仿宋_GB2312" w:cs="仿宋_GB2312"/>
                <w:bCs/>
                <w:color w:val="auto"/>
                <w:spacing w:val="6"/>
                <w:szCs w:val="28"/>
              </w:rPr>
              <w:t>2. 鼓励性成果：</w:t>
            </w:r>
          </w:p>
          <w:p w14:paraId="0A3FC1F0">
            <w:pPr>
              <w:adjustRightInd w:val="0"/>
              <w:snapToGrid w:val="0"/>
              <w:ind w:firstLine="504" w:firstLineChars="200"/>
              <w:rPr>
                <w:rFonts w:ascii="仿宋_GB2312" w:hAnsi="仿宋_GB2312" w:eastAsia="仿宋_GB2312" w:cs="仿宋_GB2312"/>
                <w:bCs/>
                <w:color w:val="auto"/>
                <w:spacing w:val="6"/>
                <w:szCs w:val="28"/>
              </w:rPr>
            </w:pPr>
            <w:r>
              <w:rPr>
                <w:rFonts w:hint="eastAsia" w:ascii="仿宋_GB2312" w:hAnsi="仿宋_GB2312" w:eastAsia="仿宋_GB2312" w:cs="仿宋_GB2312"/>
                <w:bCs/>
                <w:color w:val="auto"/>
                <w:spacing w:val="6"/>
                <w:szCs w:val="28"/>
              </w:rPr>
              <w:t>与北京本地一所特教学校或康复机构开展的初步用户测试报告（需附伦理说明）。</w:t>
            </w:r>
          </w:p>
          <w:p w14:paraId="16CED15C">
            <w:pPr>
              <w:adjustRightInd w:val="0"/>
              <w:snapToGrid w:val="0"/>
              <w:ind w:firstLine="504" w:firstLineChars="200"/>
              <w:rPr>
                <w:rFonts w:hint="eastAsia" w:ascii="仿宋_GB2312" w:hAnsi="仿宋_GB2312" w:eastAsia="仿宋_GB2312" w:cs="仿宋_GB2312"/>
                <w:bCs/>
                <w:color w:val="auto"/>
                <w:spacing w:val="6"/>
                <w:szCs w:val="28"/>
              </w:rPr>
            </w:pPr>
            <w:r>
              <w:rPr>
                <w:rFonts w:hint="eastAsia" w:ascii="仿宋_GB2312" w:hAnsi="仿宋_GB2312" w:eastAsia="仿宋_GB2312" w:cs="仿宋_GB2312"/>
                <w:bCs/>
                <w:color w:val="auto"/>
                <w:spacing w:val="6"/>
                <w:szCs w:val="28"/>
              </w:rPr>
              <w:t>产品化的初步构思及商业模式草图。</w:t>
            </w:r>
          </w:p>
        </w:tc>
      </w:tr>
      <w:tr w14:paraId="78F192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05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46E0EF">
            <w:pPr>
              <w:overflowPunct w:val="0"/>
              <w:adjustRightInd w:val="0"/>
              <w:snapToGrid w:val="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作品评审</w:t>
            </w:r>
          </w:p>
          <w:p w14:paraId="53253DDE">
            <w:pPr>
              <w:overflowPunct w:val="0"/>
              <w:adjustRightInd w:val="0"/>
              <w:snapToGrid w:val="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D9413A">
            <w:pPr>
              <w:overflowPunct w:val="0"/>
              <w:adjustRightInd w:val="0"/>
              <w:snapToGrid w:val="0"/>
              <w:ind w:firstLine="504" w:firstLineChars="200"/>
              <w:rPr>
                <w:rFonts w:hint="eastAsia" w:ascii="仿宋_GB2312" w:hAnsi="仿宋_GB2312" w:eastAsia="仿宋_GB2312" w:cs="仿宋_GB2312"/>
                <w:bCs/>
                <w:color w:val="auto"/>
                <w:spacing w:val="6"/>
                <w:szCs w:val="28"/>
              </w:rPr>
            </w:pPr>
            <w:r>
              <w:rPr>
                <w:rFonts w:hint="eastAsia" w:ascii="仿宋_GB2312" w:hAnsi="仿宋_GB2312" w:eastAsia="仿宋_GB2312" w:cs="仿宋_GB2312"/>
                <w:bCs/>
                <w:color w:val="auto"/>
                <w:spacing w:val="6"/>
                <w:szCs w:val="28"/>
              </w:rPr>
              <w:t>以“方案可行性、商业潜力及价值呈现”为核心，按</w:t>
            </w:r>
            <w:r>
              <w:rPr>
                <w:rFonts w:ascii="仿宋_GB2312" w:hAnsi="仿宋_GB2312" w:eastAsia="仿宋_GB2312" w:cs="仿宋_GB2312"/>
                <w:bCs/>
                <w:color w:val="auto"/>
                <w:spacing w:val="6"/>
                <w:szCs w:val="28"/>
              </w:rPr>
              <w:t>100</w:t>
            </w:r>
            <w:r>
              <w:rPr>
                <w:rFonts w:hint="eastAsia" w:ascii="仿宋_GB2312" w:hAnsi="仿宋_GB2312" w:eastAsia="仿宋_GB2312" w:cs="仿宋_GB2312"/>
                <w:bCs/>
                <w:color w:val="auto"/>
                <w:spacing w:val="6"/>
                <w:szCs w:val="28"/>
              </w:rPr>
              <w:t>分制评审，具体分值分配及标准如下：</w:t>
            </w:r>
          </w:p>
          <w:p w14:paraId="1DA7EF1E">
            <w:pPr>
              <w:overflowPunct w:val="0"/>
              <w:adjustRightInd w:val="0"/>
              <w:snapToGrid w:val="0"/>
              <w:ind w:firstLine="504" w:firstLineChars="200"/>
              <w:rPr>
                <w:rFonts w:hint="eastAsia" w:ascii="仿宋_GB2312" w:hAnsi="仿宋_GB2312" w:eastAsia="仿宋_GB2312" w:cs="仿宋_GB2312"/>
                <w:bCs/>
                <w:color w:val="auto"/>
                <w:spacing w:val="6"/>
                <w:szCs w:val="28"/>
              </w:rPr>
            </w:pPr>
            <w:r>
              <w:rPr>
                <w:rFonts w:ascii="仿宋_GB2312" w:hAnsi="仿宋_GB2312" w:eastAsia="仿宋_GB2312" w:cs="仿宋_GB2312"/>
                <w:bCs/>
                <w:color w:val="auto"/>
                <w:spacing w:val="6"/>
                <w:szCs w:val="28"/>
              </w:rPr>
              <w:t>1.</w:t>
            </w:r>
            <w:r>
              <w:rPr>
                <w:rFonts w:hint="eastAsia" w:ascii="仿宋_GB2312" w:hAnsi="仿宋_GB2312" w:eastAsia="仿宋_GB2312" w:cs="仿宋_GB2312"/>
                <w:bCs/>
                <w:color w:val="auto"/>
                <w:spacing w:val="6"/>
                <w:szCs w:val="28"/>
              </w:rPr>
              <w:t>创新性（</w:t>
            </w:r>
            <w:r>
              <w:rPr>
                <w:rFonts w:ascii="仿宋_GB2312" w:hAnsi="仿宋_GB2312" w:eastAsia="仿宋_GB2312" w:cs="仿宋_GB2312"/>
                <w:bCs/>
                <w:color w:val="auto"/>
                <w:spacing w:val="6"/>
                <w:szCs w:val="28"/>
              </w:rPr>
              <w:t>25</w:t>
            </w:r>
            <w:r>
              <w:rPr>
                <w:rFonts w:hint="eastAsia" w:ascii="仿宋_GB2312" w:hAnsi="仿宋_GB2312" w:eastAsia="仿宋_GB2312" w:cs="仿宋_GB2312"/>
                <w:bCs/>
                <w:color w:val="auto"/>
                <w:spacing w:val="6"/>
                <w:szCs w:val="28"/>
              </w:rPr>
              <w:t>分）：强调原始创意价值、跨学科融合度和思维模式突破、突出原创性知识产权取得；</w:t>
            </w:r>
          </w:p>
          <w:p w14:paraId="4E8D0958">
            <w:pPr>
              <w:overflowPunct w:val="0"/>
              <w:adjustRightInd w:val="0"/>
              <w:snapToGrid w:val="0"/>
              <w:ind w:firstLine="504" w:firstLineChars="200"/>
              <w:rPr>
                <w:rFonts w:hint="eastAsia" w:ascii="仿宋_GB2312" w:hAnsi="仿宋_GB2312" w:eastAsia="仿宋_GB2312" w:cs="仿宋_GB2312"/>
                <w:bCs/>
                <w:color w:val="auto"/>
                <w:spacing w:val="6"/>
                <w:szCs w:val="28"/>
              </w:rPr>
            </w:pPr>
            <w:r>
              <w:rPr>
                <w:rFonts w:ascii="仿宋_GB2312" w:hAnsi="仿宋_GB2312" w:eastAsia="仿宋_GB2312" w:cs="仿宋_GB2312"/>
                <w:bCs/>
                <w:color w:val="auto"/>
                <w:spacing w:val="6"/>
                <w:szCs w:val="28"/>
              </w:rPr>
              <w:t>2.</w:t>
            </w:r>
            <w:r>
              <w:rPr>
                <w:rFonts w:hint="eastAsia" w:ascii="仿宋_GB2312" w:hAnsi="仿宋_GB2312" w:eastAsia="仿宋_GB2312" w:cs="仿宋_GB2312"/>
                <w:bCs/>
                <w:color w:val="auto"/>
                <w:spacing w:val="6"/>
                <w:szCs w:val="28"/>
              </w:rPr>
              <w:t>商业性（</w:t>
            </w:r>
            <w:r>
              <w:rPr>
                <w:rFonts w:ascii="仿宋_GB2312" w:hAnsi="仿宋_GB2312" w:eastAsia="仿宋_GB2312" w:cs="仿宋_GB2312"/>
                <w:bCs/>
                <w:color w:val="auto"/>
                <w:spacing w:val="6"/>
                <w:szCs w:val="28"/>
              </w:rPr>
              <w:t>15</w:t>
            </w:r>
            <w:r>
              <w:rPr>
                <w:rFonts w:hint="eastAsia" w:ascii="仿宋_GB2312" w:hAnsi="仿宋_GB2312" w:eastAsia="仿宋_GB2312" w:cs="仿宋_GB2312"/>
                <w:bCs/>
                <w:color w:val="auto"/>
                <w:spacing w:val="6"/>
                <w:szCs w:val="28"/>
              </w:rPr>
              <w:t>分）：强调市场需求匹配、商业模式可行性和政策导向匹配度；</w:t>
            </w:r>
          </w:p>
          <w:p w14:paraId="13AC5EB2">
            <w:pPr>
              <w:overflowPunct w:val="0"/>
              <w:adjustRightInd w:val="0"/>
              <w:snapToGrid w:val="0"/>
              <w:ind w:firstLine="504" w:firstLineChars="200"/>
              <w:rPr>
                <w:rFonts w:hint="eastAsia" w:ascii="仿宋_GB2312" w:hAnsi="仿宋_GB2312" w:eastAsia="仿宋_GB2312" w:cs="仿宋_GB2312"/>
                <w:bCs/>
                <w:color w:val="auto"/>
                <w:spacing w:val="6"/>
                <w:szCs w:val="28"/>
              </w:rPr>
            </w:pPr>
            <w:r>
              <w:rPr>
                <w:rFonts w:ascii="仿宋_GB2312" w:hAnsi="仿宋_GB2312" w:eastAsia="仿宋_GB2312" w:cs="仿宋_GB2312"/>
                <w:bCs/>
                <w:color w:val="auto"/>
                <w:spacing w:val="6"/>
                <w:szCs w:val="28"/>
              </w:rPr>
              <w:t>3.</w:t>
            </w:r>
            <w:r>
              <w:rPr>
                <w:rFonts w:hint="eastAsia" w:ascii="仿宋_GB2312" w:hAnsi="仿宋_GB2312" w:eastAsia="仿宋_GB2312" w:cs="仿宋_GB2312"/>
                <w:bCs/>
                <w:color w:val="auto"/>
                <w:spacing w:val="6"/>
                <w:szCs w:val="28"/>
              </w:rPr>
              <w:t>方案设计（</w:t>
            </w:r>
            <w:r>
              <w:rPr>
                <w:rFonts w:ascii="仿宋_GB2312" w:hAnsi="仿宋_GB2312" w:eastAsia="仿宋_GB2312" w:cs="仿宋_GB2312"/>
                <w:bCs/>
                <w:color w:val="auto"/>
                <w:spacing w:val="6"/>
                <w:szCs w:val="28"/>
              </w:rPr>
              <w:t>25</w:t>
            </w:r>
            <w:r>
              <w:rPr>
                <w:rFonts w:hint="eastAsia" w:ascii="仿宋_GB2312" w:hAnsi="仿宋_GB2312" w:eastAsia="仿宋_GB2312" w:cs="仿宋_GB2312"/>
                <w:bCs/>
                <w:color w:val="auto"/>
                <w:spacing w:val="6"/>
                <w:szCs w:val="28"/>
              </w:rPr>
              <w:t>分）：强调方案的成熟度、可扩展性和可推广性；</w:t>
            </w:r>
          </w:p>
          <w:p w14:paraId="56B99174">
            <w:pPr>
              <w:overflowPunct w:val="0"/>
              <w:adjustRightInd w:val="0"/>
              <w:snapToGrid w:val="0"/>
              <w:ind w:firstLine="504" w:firstLineChars="200"/>
              <w:rPr>
                <w:rFonts w:hint="eastAsia" w:ascii="仿宋_GB2312" w:hAnsi="仿宋_GB2312" w:eastAsia="仿宋_GB2312" w:cs="仿宋_GB2312"/>
                <w:bCs/>
                <w:color w:val="auto"/>
                <w:spacing w:val="6"/>
                <w:szCs w:val="28"/>
              </w:rPr>
            </w:pPr>
            <w:r>
              <w:rPr>
                <w:rFonts w:ascii="仿宋_GB2312" w:hAnsi="仿宋_GB2312" w:eastAsia="仿宋_GB2312" w:cs="仿宋_GB2312"/>
                <w:bCs/>
                <w:color w:val="auto"/>
                <w:spacing w:val="6"/>
                <w:szCs w:val="28"/>
              </w:rPr>
              <w:t>4.</w:t>
            </w:r>
            <w:r>
              <w:rPr>
                <w:rFonts w:hint="eastAsia" w:ascii="仿宋_GB2312" w:hAnsi="仿宋_GB2312" w:eastAsia="仿宋_GB2312" w:cs="仿宋_GB2312"/>
                <w:bCs/>
                <w:color w:val="auto"/>
                <w:spacing w:val="6"/>
                <w:szCs w:val="28"/>
              </w:rPr>
              <w:t>方案介绍（</w:t>
            </w:r>
            <w:r>
              <w:rPr>
                <w:rFonts w:ascii="仿宋_GB2312" w:hAnsi="仿宋_GB2312" w:eastAsia="仿宋_GB2312" w:cs="仿宋_GB2312"/>
                <w:bCs/>
                <w:color w:val="auto"/>
                <w:spacing w:val="6"/>
                <w:szCs w:val="28"/>
              </w:rPr>
              <w:t>20</w:t>
            </w:r>
            <w:r>
              <w:rPr>
                <w:rFonts w:hint="eastAsia" w:ascii="仿宋_GB2312" w:hAnsi="仿宋_GB2312" w:eastAsia="仿宋_GB2312" w:cs="仿宋_GB2312"/>
                <w:bCs/>
                <w:color w:val="auto"/>
                <w:spacing w:val="6"/>
                <w:szCs w:val="28"/>
              </w:rPr>
              <w:t>分）：强调表达逻辑、团队协作和相关产品及服务展示；</w:t>
            </w:r>
          </w:p>
          <w:p w14:paraId="27094EA4">
            <w:pPr>
              <w:overflowPunct w:val="0"/>
              <w:adjustRightInd w:val="0"/>
              <w:snapToGrid w:val="0"/>
              <w:ind w:firstLine="504" w:firstLineChars="200"/>
              <w:rPr>
                <w:rFonts w:hint="eastAsia" w:ascii="仿宋_GB2312" w:hAnsi="仿宋_GB2312" w:eastAsia="仿宋_GB2312" w:cs="仿宋_GB2312"/>
                <w:bCs/>
                <w:color w:val="auto"/>
                <w:spacing w:val="6"/>
                <w:szCs w:val="28"/>
              </w:rPr>
            </w:pPr>
            <w:r>
              <w:rPr>
                <w:rFonts w:ascii="仿宋_GB2312" w:hAnsi="仿宋_GB2312" w:eastAsia="仿宋_GB2312" w:cs="仿宋_GB2312"/>
                <w:bCs/>
                <w:color w:val="auto"/>
                <w:spacing w:val="6"/>
                <w:szCs w:val="28"/>
              </w:rPr>
              <w:t>5.</w:t>
            </w:r>
            <w:r>
              <w:rPr>
                <w:rFonts w:hint="eastAsia" w:ascii="仿宋_GB2312" w:hAnsi="仿宋_GB2312" w:eastAsia="仿宋_GB2312" w:cs="仿宋_GB2312"/>
                <w:bCs/>
                <w:color w:val="auto"/>
                <w:spacing w:val="6"/>
                <w:szCs w:val="28"/>
              </w:rPr>
              <w:t>价值呈现（</w:t>
            </w:r>
            <w:r>
              <w:rPr>
                <w:rFonts w:ascii="仿宋_GB2312" w:hAnsi="仿宋_GB2312" w:eastAsia="仿宋_GB2312" w:cs="仿宋_GB2312"/>
                <w:bCs/>
                <w:color w:val="auto"/>
                <w:spacing w:val="6"/>
                <w:szCs w:val="28"/>
              </w:rPr>
              <w:t>15</w:t>
            </w:r>
            <w:r>
              <w:rPr>
                <w:rFonts w:hint="eastAsia" w:ascii="仿宋_GB2312" w:hAnsi="仿宋_GB2312" w:eastAsia="仿宋_GB2312" w:cs="仿宋_GB2312"/>
                <w:bCs/>
                <w:color w:val="auto"/>
                <w:spacing w:val="6"/>
                <w:szCs w:val="28"/>
              </w:rPr>
              <w:t>分）：强调社会价值、公益价值、教育价值和拓展就业等价值。</w:t>
            </w:r>
          </w:p>
        </w:tc>
      </w:tr>
      <w:tr w14:paraId="608540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4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F6EDD87">
            <w:pPr>
              <w:overflowPunct w:val="0"/>
              <w:adjustRightInd w:val="0"/>
              <w:snapToGrid w:val="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2E3B868">
            <w:pPr>
              <w:overflowPunct w:val="0"/>
              <w:adjustRightInd w:val="0"/>
              <w:snapToGrid w:val="0"/>
              <w:ind w:firstLine="480"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color w:val="000000"/>
              </w:rPr>
              <w:t>无。</w:t>
            </w:r>
          </w:p>
        </w:tc>
      </w:tr>
    </w:tbl>
    <w:p w14:paraId="73C8E7CC">
      <w:pPr>
        <w:tabs>
          <w:tab w:val="left" w:pos="8640"/>
        </w:tabs>
        <w:adjustRightInd w:val="0"/>
        <w:snapToGrid w:val="0"/>
        <w:spacing w:line="440" w:lineRule="exact"/>
        <w:rPr>
          <w:rFonts w:ascii="方正黑体简体" w:eastAsia="方正黑体简体"/>
          <w:bCs/>
          <w:spacing w:val="6"/>
          <w:sz w:val="32"/>
          <w:szCs w:val="32"/>
        </w:rPr>
      </w:pPr>
      <w:r>
        <w:rPr>
          <w:rFonts w:hint="eastAsia" w:ascii="方正黑体简体" w:eastAsia="方正黑体简体"/>
          <w:bCs/>
          <w:spacing w:val="6"/>
          <w:sz w:val="32"/>
          <w:szCs w:val="32"/>
        </w:rPr>
        <w:t>三、激励保障</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4270CB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414"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2C28B94">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lang w:val="en-US"/>
              </w:rPr>
              <w:t>保障</w:t>
            </w:r>
            <w:r>
              <w:rPr>
                <w:rFonts w:hint="eastAsia" w:ascii="楷体_GB2312" w:hAnsi="楷体_GB2312" w:eastAsia="楷体_GB2312" w:cs="楷体_GB2312"/>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1EAF180">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我单位将为参赛团队提供全方位的指导帮助和支持。以下是我们为参赛团队提供的指导帮助等详细方案：</w:t>
            </w:r>
          </w:p>
          <w:p w14:paraId="2D3F7D10">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开展实地参观：我们将安排参赛团队参观特殊人群照护基地，以便他们更好地了解行业现状、发展趋势和应用前景。参观时间初步定于比赛前两个月，具体时间将根据参赛团队的需求和实际情况进行调整。</w:t>
            </w:r>
          </w:p>
          <w:p w14:paraId="50590E5A">
            <w:pPr>
              <w:adjustRightInd w:val="0"/>
              <w:snapToGrid w:val="0"/>
              <w:ind w:firstLine="504" w:firstLineChars="200"/>
              <w:jc w:val="both"/>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lang w:val="en-US"/>
              </w:rPr>
              <w:t>推动产教融合：本公司将积极与相关企业、学校和政府部门合作，推动产教融合，为参赛团队提供更多实践机会和资</w:t>
            </w:r>
            <w:r>
              <w:rPr>
                <w:rFonts w:ascii="仿宋_GB2312" w:hAnsi="仿宋_GB2312" w:eastAsia="仿宋_GB2312" w:cs="仿宋_GB2312"/>
                <w:bCs/>
                <w:color w:val="000000"/>
                <w:spacing w:val="6"/>
                <w:szCs w:val="28"/>
                <w:lang w:val="en-US"/>
              </w:rPr>
              <w:t xml:space="preserve"> </w:t>
            </w:r>
            <w:r>
              <w:rPr>
                <w:rFonts w:hint="eastAsia" w:ascii="仿宋_GB2312" w:hAnsi="仿宋_GB2312" w:eastAsia="仿宋_GB2312" w:cs="仿宋_GB2312"/>
                <w:bCs/>
                <w:color w:val="000000"/>
                <w:spacing w:val="6"/>
                <w:szCs w:val="28"/>
                <w:lang w:val="en-US"/>
              </w:rPr>
              <w:t>源。在赛事进程中将邀请行业专家和企业代表参加比赛评审和讲座活动，为参赛团队提供更多学习机会。</w:t>
            </w:r>
          </w:p>
        </w:tc>
      </w:tr>
      <w:tr w14:paraId="547563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621"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6F6937E">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F390E02">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一、奖项设置</w:t>
            </w:r>
          </w:p>
          <w:p w14:paraId="7B01FF24">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eastAsia="zh-CN"/>
              </w:rPr>
              <w:t>原则上设“擂主”团队1个，</w:t>
            </w:r>
            <w:r>
              <w:rPr>
                <w:rFonts w:hint="eastAsia" w:ascii="仿宋_GB2312" w:hAnsi="仿宋_GB2312" w:eastAsia="仿宋_GB2312" w:cs="仿宋_GB2312"/>
                <w:bCs/>
                <w:color w:val="000000"/>
                <w:spacing w:val="6"/>
                <w:szCs w:val="28"/>
                <w:lang w:val="en-US"/>
              </w:rPr>
              <w:t>根据实际情况评出相应的特等奖、一等奖、二等奖、三等奖项目若干。</w:t>
            </w:r>
          </w:p>
          <w:p w14:paraId="3C5E0066">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二、激励措施</w:t>
            </w:r>
          </w:p>
          <w:p w14:paraId="3343C3BE">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1.针对“擂主”团队，开展后期项目落地及创业实践。</w:t>
            </w:r>
          </w:p>
          <w:p w14:paraId="67052F72">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2.为部分优秀获奖团队提供线下实习工作机会，并由本单位出具实习证明。</w:t>
            </w:r>
          </w:p>
        </w:tc>
      </w:tr>
    </w:tbl>
    <w:p w14:paraId="3DEB08D3">
      <w:pPr>
        <w:tabs>
          <w:tab w:val="left" w:pos="8640"/>
        </w:tabs>
        <w:adjustRightInd w:val="0"/>
        <w:snapToGrid w:val="0"/>
        <w:spacing w:line="560" w:lineRule="exact"/>
        <w:rPr>
          <w:rFonts w:ascii="方正黑体简体" w:eastAsia="方正黑体简体"/>
          <w:bCs/>
          <w:spacing w:val="6"/>
          <w:sz w:val="32"/>
          <w:szCs w:val="32"/>
          <w:lang w:val="en-US"/>
        </w:rPr>
      </w:pPr>
      <w:r>
        <w:rPr>
          <w:rFonts w:hint="eastAsia" w:ascii="方正黑体简体" w:eastAsia="方正黑体简体"/>
          <w:bCs/>
          <w:spacing w:val="6"/>
          <w:sz w:val="32"/>
          <w:szCs w:val="32"/>
          <w:lang w:val="en-US"/>
        </w:rPr>
        <w:t>四、选题意义</w:t>
      </w:r>
    </w:p>
    <w:tbl>
      <w:tblPr>
        <w:tblStyle w:val="1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32BB3B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4C250194">
            <w:pPr>
              <w:overflowPunct w:val="0"/>
              <w:adjustRightInd w:val="0"/>
              <w:snapToGrid w:val="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795DA4">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本题目鼓励特殊教育、心理学、医学、计算机科学、工程设计等多学科团队协作，以及企业与科研院所、医疗机构、特教机构、家长组织的深度融合。通过多学科和多组织的融合与写作，用科技与人文力量温暖每一个特殊儿童及其家庭，为我国公益事业发展贡献关键力量。</w:t>
            </w:r>
          </w:p>
        </w:tc>
      </w:tr>
      <w:tr w14:paraId="05EDEB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DAF45A">
            <w:pPr>
              <w:overflowPunct w:val="0"/>
              <w:adjustRightInd w:val="0"/>
              <w:snapToGrid w:val="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1CDC4A">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本选题的成功实践，将产生深远且多层次的经济社会效益，其价值不仅限于直接受益群体，更将辐射至家庭、公共服务体系及整个社会创新生态。</w:t>
            </w:r>
          </w:p>
          <w:p w14:paraId="6C498E51">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对于个体而言，能够通过方案实施提升生活质量，对于家庭而言，能够减轻照护负担；对于教育科研而言，能够深度促进学科融合；对于社会发展而言，能够提升社会大众对于该群体的包容度。综上，本选题能够实现</w:t>
            </w:r>
            <w:r>
              <w:rPr>
                <w:rFonts w:ascii="仿宋_GB2312" w:hAnsi="仿宋_GB2312" w:eastAsia="仿宋_GB2312" w:cs="仿宋_GB2312"/>
                <w:bCs/>
                <w:color w:val="000000"/>
                <w:spacing w:val="6"/>
                <w:szCs w:val="28"/>
              </w:rPr>
              <w:t>“</w:t>
            </w:r>
            <w:r>
              <w:rPr>
                <w:rFonts w:hint="eastAsia" w:ascii="仿宋_GB2312" w:hAnsi="仿宋_GB2312" w:eastAsia="仿宋_GB2312" w:cs="仿宋_GB2312"/>
                <w:bCs/>
                <w:color w:val="000000"/>
                <w:spacing w:val="6"/>
                <w:szCs w:val="28"/>
              </w:rPr>
              <w:t>个体</w:t>
            </w:r>
            <w:bookmarkStart w:id="1" w:name="OLE_LINK63"/>
            <w:r>
              <w:rPr>
                <w:rFonts w:hint="eastAsia" w:ascii="仿宋_GB2312" w:hAnsi="仿宋_GB2312" w:eastAsia="仿宋_GB2312" w:cs="仿宋_GB2312"/>
                <w:bCs/>
                <w:color w:val="000000"/>
                <w:spacing w:val="6"/>
                <w:szCs w:val="28"/>
              </w:rPr>
              <w:t>—</w:t>
            </w:r>
            <w:bookmarkEnd w:id="1"/>
            <w:r>
              <w:rPr>
                <w:rFonts w:hint="eastAsia" w:ascii="仿宋_GB2312" w:hAnsi="仿宋_GB2312" w:eastAsia="仿宋_GB2312" w:cs="仿宋_GB2312"/>
                <w:bCs/>
                <w:color w:val="000000"/>
                <w:spacing w:val="6"/>
                <w:szCs w:val="28"/>
              </w:rPr>
              <w:t>家庭—高校—社会”多方良性循环。本命题相关方案的成功实施，将在社会价值和经济效益上取得双赢，有力服务于“健康中国”和“共同富裕”的国家战略。</w:t>
            </w:r>
          </w:p>
        </w:tc>
      </w:tr>
    </w:tbl>
    <w:p w14:paraId="757BE899">
      <w:pPr>
        <w:rPr>
          <w:rFonts w:hint="eastAsia" w:ascii="楷体_GB2312" w:hAnsi="楷体_GB2312" w:eastAsia="楷体_GB2312" w:cs="楷体_GB2312"/>
        </w:rPr>
      </w:pPr>
      <w:r>
        <w:rPr>
          <w:rFonts w:hint="eastAsia" w:ascii="楷体_GB2312" w:hAnsi="楷体_GB2312" w:eastAsia="楷体_GB2312" w:cs="楷体_GB2312"/>
        </w:rPr>
        <w:br w:type="page"/>
      </w:r>
    </w:p>
    <w:p w14:paraId="4CA644B9">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“青智未来”新质生产力</w:t>
      </w:r>
      <w:r>
        <w:rPr>
          <w:rFonts w:hint="default" w:ascii="Times New Roman" w:hAnsi="Times New Roman" w:eastAsia="方正小标宋简体" w:cs="Times New Roman"/>
          <w:b w:val="0"/>
          <w:bCs/>
          <w:kern w:val="2"/>
          <w:sz w:val="44"/>
          <w:szCs w:val="32"/>
          <w:highlight w:val="none"/>
          <w:lang w:val="en-US" w:eastAsia="zh-CN"/>
        </w:rPr>
        <w:t>专项赛</w:t>
      </w:r>
    </w:p>
    <w:p w14:paraId="1288E5F1">
      <w:pPr>
        <w:keepNext w:val="0"/>
        <w:keepLines w:val="0"/>
        <w:pageBreakBefore w:val="0"/>
        <w:widowControl w:val="0"/>
        <w:tabs>
          <w:tab w:val="left" w:pos="8640"/>
        </w:tabs>
        <w:kinsoku/>
        <w:wordWrap w:val="0"/>
        <w:topLinePunct w:val="0"/>
        <w:autoSpaceDE/>
        <w:autoSpaceDN/>
        <w:bidi w:val="0"/>
        <w:adjustRightInd w:val="0"/>
        <w:snapToGrid w:val="0"/>
        <w:spacing w:line="560" w:lineRule="exact"/>
        <w:jc w:val="center"/>
        <w:rPr>
          <w:rFonts w:hint="default" w:ascii="Times New Roman" w:hAnsi="Times New Roman" w:eastAsia="方正小标宋简体" w:cs="Times New Roman"/>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—0</w:t>
      </w:r>
      <w:r>
        <w:rPr>
          <w:rFonts w:hint="eastAsia" w:eastAsia="方正小标宋简体" w:cs="方正小标宋简体"/>
          <w:b w:val="0"/>
          <w:bCs/>
          <w:kern w:val="2"/>
          <w:sz w:val="44"/>
          <w:szCs w:val="32"/>
          <w:highlight w:val="none"/>
          <w:lang w:val="en-US" w:eastAsia="zh-CN"/>
        </w:rPr>
        <w:t>4</w:t>
      </w:r>
    </w:p>
    <w:p w14:paraId="5F6D2FF7">
      <w:pPr>
        <w:keepNext w:val="0"/>
        <w:keepLines w:val="0"/>
        <w:pageBreakBefore w:val="0"/>
        <w:widowControl w:val="0"/>
        <w:tabs>
          <w:tab w:val="left" w:pos="8640"/>
        </w:tabs>
        <w:kinsoku/>
        <w:wordWrap w:val="0"/>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b w:val="0"/>
          <w:bCs/>
          <w:kern w:val="2"/>
          <w:sz w:val="32"/>
          <w:szCs w:val="22"/>
          <w:highlight w:val="none"/>
          <w:lang w:val="en-US" w:eastAsia="zh-CN"/>
        </w:rPr>
      </w:pPr>
    </w:p>
    <w:p w14:paraId="2F7EDF07">
      <w:pPr>
        <w:tabs>
          <w:tab w:val="left" w:pos="8640"/>
        </w:tabs>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一、单位信息</w:t>
      </w:r>
    </w:p>
    <w:tbl>
      <w:tblPr>
        <w:tblStyle w:val="11"/>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56BA0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70702ED0">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单位名称</w:t>
            </w:r>
          </w:p>
        </w:tc>
        <w:tc>
          <w:tcPr>
            <w:tcW w:w="6932" w:type="dxa"/>
            <w:gridSpan w:val="3"/>
            <w:vAlign w:val="center"/>
          </w:tcPr>
          <w:p w14:paraId="2BFD09EB">
            <w:pPr>
              <w:rPr>
                <w:rFonts w:eastAsia="仿宋_GB2312"/>
              </w:rPr>
            </w:pPr>
            <w:r>
              <w:rPr>
                <w:rFonts w:hint="eastAsia" w:eastAsia="仿宋_GB2312"/>
              </w:rPr>
              <w:t>北汽福田汽车股份有限公司</w:t>
            </w:r>
          </w:p>
        </w:tc>
      </w:tr>
      <w:tr w14:paraId="29112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1F99A2D3">
            <w:pPr>
              <w:adjustRightInd w:val="0"/>
              <w:snapToGrid w:val="0"/>
              <w:spacing w:line="560" w:lineRule="exact"/>
              <w:jc w:val="center"/>
              <w:rPr>
                <w:rFonts w:hint="eastAsia" w:ascii="楷体_GB2312" w:hAnsi="楷体_GB2312" w:eastAsia="楷体_GB2312" w:cs="楷体_GB2312"/>
                <w:b w:val="0"/>
                <w:color w:val="000000"/>
                <w:sz w:val="28"/>
                <w:szCs w:val="28"/>
                <w:lang w:val="en-US"/>
              </w:rPr>
            </w:pPr>
            <w:r>
              <w:rPr>
                <w:rFonts w:hint="eastAsia" w:ascii="楷体_GB2312" w:hAnsi="楷体_GB2312" w:eastAsia="楷体_GB2312" w:cs="楷体_GB2312"/>
                <w:b w:val="0"/>
                <w:color w:val="000000"/>
                <w:sz w:val="28"/>
                <w:szCs w:val="28"/>
                <w:lang w:val="en-US"/>
              </w:rPr>
              <w:t>单位类型</w:t>
            </w:r>
          </w:p>
        </w:tc>
        <w:tc>
          <w:tcPr>
            <w:tcW w:w="6932" w:type="dxa"/>
            <w:gridSpan w:val="3"/>
            <w:vAlign w:val="center"/>
          </w:tcPr>
          <w:p w14:paraId="180DCA50">
            <w:pPr>
              <w:rPr>
                <w:rFonts w:eastAsia="仿宋_GB2312"/>
                <w:lang w:val="en-US"/>
              </w:rPr>
            </w:pPr>
            <w:r>
              <w:rPr>
                <w:rFonts w:hint="eastAsia" w:eastAsia="仿宋_GB2312"/>
                <w:lang w:val="en-US"/>
              </w:rPr>
              <w:t>地方国企</w:t>
            </w:r>
          </w:p>
        </w:tc>
      </w:tr>
      <w:tr w14:paraId="6B69A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76673FA0">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地址</w:t>
            </w:r>
          </w:p>
        </w:tc>
        <w:tc>
          <w:tcPr>
            <w:tcW w:w="6932" w:type="dxa"/>
            <w:gridSpan w:val="3"/>
            <w:vAlign w:val="center"/>
          </w:tcPr>
          <w:p w14:paraId="2DED10BF">
            <w:pPr>
              <w:rPr>
                <w:rFonts w:eastAsia="仿宋_GB2312"/>
              </w:rPr>
            </w:pPr>
            <w:r>
              <w:rPr>
                <w:rFonts w:hint="eastAsia" w:eastAsia="仿宋_GB2312"/>
              </w:rPr>
              <w:t>北京市昌平区沙河镇沙阳路</w:t>
            </w:r>
          </w:p>
        </w:tc>
      </w:tr>
      <w:tr w14:paraId="7E033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4F2D05B4">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rPr>
              <w:t>单位</w:t>
            </w:r>
            <w:r>
              <w:rPr>
                <w:rFonts w:hint="eastAsia" w:ascii="楷体_GB2312" w:hAnsi="楷体_GB2312" w:eastAsia="楷体_GB2312" w:cs="楷体_GB2312"/>
                <w:b w:val="0"/>
                <w:color w:val="000000"/>
                <w:sz w:val="28"/>
                <w:szCs w:val="28"/>
              </w:rPr>
              <w:t>简介</w:t>
            </w:r>
          </w:p>
        </w:tc>
        <w:tc>
          <w:tcPr>
            <w:tcW w:w="6932" w:type="dxa"/>
            <w:gridSpan w:val="3"/>
            <w:vAlign w:val="center"/>
          </w:tcPr>
          <w:p w14:paraId="0FB74D0D">
            <w:pPr>
              <w:rPr>
                <w:rFonts w:eastAsia="仿宋_GB2312"/>
              </w:rPr>
            </w:pPr>
            <w:r>
              <w:rPr>
                <w:rFonts w:hint="eastAsia" w:eastAsia="仿宋_GB2312"/>
                <w:lang w:val="en-US"/>
              </w:rPr>
              <w:t>北汽福田汽车股份有限公司（以下简称“北汽福田”）成立于</w:t>
            </w:r>
            <w:r>
              <w:rPr>
                <w:rFonts w:eastAsia="仿宋_GB2312"/>
                <w:lang w:val="en-US"/>
              </w:rPr>
              <w:t>1996</w:t>
            </w:r>
            <w:r>
              <w:rPr>
                <w:rFonts w:hint="eastAsia" w:eastAsia="仿宋_GB2312"/>
                <w:lang w:val="en-US"/>
              </w:rPr>
              <w:t>年</w:t>
            </w:r>
            <w:r>
              <w:rPr>
                <w:rFonts w:eastAsia="仿宋_GB2312"/>
                <w:lang w:val="en-US"/>
              </w:rPr>
              <w:t>8</w:t>
            </w:r>
            <w:r>
              <w:rPr>
                <w:rFonts w:hint="eastAsia" w:eastAsia="仿宋_GB2312"/>
                <w:lang w:val="en-US"/>
              </w:rPr>
              <w:t>月</w:t>
            </w:r>
            <w:r>
              <w:rPr>
                <w:rFonts w:eastAsia="仿宋_GB2312"/>
                <w:lang w:val="en-US"/>
              </w:rPr>
              <w:t>28</w:t>
            </w:r>
            <w:r>
              <w:rPr>
                <w:rFonts w:hint="eastAsia" w:eastAsia="仿宋_GB2312"/>
                <w:lang w:val="en-US"/>
              </w:rPr>
              <w:t>日，隶属于北汽集团，是北京市属国有企业。</w:t>
            </w:r>
            <w:r>
              <w:rPr>
                <w:rFonts w:eastAsia="仿宋_GB2312"/>
                <w:lang w:val="en-US"/>
              </w:rPr>
              <w:t>1998</w:t>
            </w:r>
            <w:r>
              <w:rPr>
                <w:rFonts w:hint="eastAsia" w:eastAsia="仿宋_GB2312"/>
                <w:lang w:val="en-US"/>
              </w:rPr>
              <w:t>年在上海证券交易所上市，是中国品种最全、规模最大的商用车企业。北汽福田于</w:t>
            </w:r>
            <w:r>
              <w:rPr>
                <w:rFonts w:eastAsia="仿宋_GB2312"/>
                <w:lang w:val="en-US"/>
              </w:rPr>
              <w:t>2021</w:t>
            </w:r>
            <w:r>
              <w:rPr>
                <w:rFonts w:hint="eastAsia" w:eastAsia="仿宋_GB2312"/>
                <w:lang w:val="en-US"/>
              </w:rPr>
              <w:t>年成为中国汽车工业史上首个销量突破千万辆的商</w:t>
            </w:r>
            <w:r>
              <w:rPr>
                <w:rFonts w:hint="eastAsia" w:ascii="Times New Roman" w:hAnsi="Times New Roman" w:eastAsia="仿宋_GB2312" w:cs="Times New Roman"/>
                <w:lang w:val="en-US"/>
              </w:rPr>
              <w:t>用车企、中国首个千万级“双自主”商用车企，也是全球突破千万销量用时最短的商用车企。北汽福田产品和服务覆盖全球130个国家和地区，连续20年位居中国商用车行业销量第一，连续14年海</w:t>
            </w:r>
            <w:r>
              <w:rPr>
                <w:rFonts w:hint="eastAsia" w:eastAsia="仿宋_GB2312"/>
                <w:lang w:val="en-US"/>
              </w:rPr>
              <w:t>外出口销量第一</w:t>
            </w:r>
            <w:r>
              <w:rPr>
                <w:rFonts w:hint="eastAsia" w:eastAsia="仿宋_GB2312"/>
                <w:lang w:val="en-US" w:eastAsia="zh-CN"/>
              </w:rPr>
              <w:t>。</w:t>
            </w:r>
          </w:p>
        </w:tc>
      </w:tr>
      <w:tr w14:paraId="15264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2D96BE95">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rPr>
              <w:t>联系人</w:t>
            </w:r>
          </w:p>
        </w:tc>
        <w:tc>
          <w:tcPr>
            <w:tcW w:w="3076" w:type="dxa"/>
            <w:vAlign w:val="center"/>
          </w:tcPr>
          <w:p w14:paraId="3D433583">
            <w:pPr>
              <w:rPr>
                <w:rFonts w:hint="eastAsia" w:ascii="Times New Roman" w:hAnsi="Times New Roman" w:eastAsia="仿宋_GB2312" w:cs="Times New Roman"/>
                <w:lang w:val="en-US"/>
              </w:rPr>
            </w:pPr>
            <w:r>
              <w:rPr>
                <w:rFonts w:hint="eastAsia" w:ascii="Times New Roman" w:hAnsi="Times New Roman" w:eastAsia="仿宋_GB2312" w:cs="Times New Roman"/>
                <w:lang w:val="en-US"/>
              </w:rPr>
              <w:t>张健</w:t>
            </w:r>
          </w:p>
        </w:tc>
        <w:tc>
          <w:tcPr>
            <w:tcW w:w="1073" w:type="dxa"/>
            <w:vAlign w:val="center"/>
          </w:tcPr>
          <w:p w14:paraId="6A4B86AC">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职务</w:t>
            </w:r>
          </w:p>
        </w:tc>
        <w:tc>
          <w:tcPr>
            <w:tcW w:w="2783" w:type="dxa"/>
            <w:vAlign w:val="center"/>
          </w:tcPr>
          <w:p w14:paraId="7A94F47B">
            <w:pPr>
              <w:rPr>
                <w:rFonts w:eastAsia="方正仿宋简体"/>
              </w:rPr>
            </w:pPr>
            <w:r>
              <w:rPr>
                <w:rFonts w:hint="eastAsia" w:eastAsia="方正仿宋简体"/>
              </w:rPr>
              <w:t>高级经理</w:t>
            </w:r>
          </w:p>
        </w:tc>
      </w:tr>
      <w:tr w14:paraId="2145E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1DA7E6CA">
            <w:pPr>
              <w:adjustRightInd w:val="0"/>
              <w:snapToGrid w:val="0"/>
              <w:spacing w:line="560" w:lineRule="exact"/>
              <w:jc w:val="center"/>
              <w:rPr>
                <w:rFonts w:hint="eastAsia" w:ascii="楷体_GB2312" w:hAnsi="楷体_GB2312" w:eastAsia="楷体_GB2312" w:cs="楷体_GB2312"/>
                <w:b w:val="0"/>
                <w:color w:val="000000"/>
                <w:sz w:val="28"/>
                <w:szCs w:val="28"/>
                <w:lang w:val="en-US"/>
              </w:rPr>
            </w:pPr>
            <w:r>
              <w:rPr>
                <w:rFonts w:hint="eastAsia" w:ascii="楷体_GB2312" w:hAnsi="楷体_GB2312" w:eastAsia="楷体_GB2312" w:cs="楷体_GB2312"/>
                <w:b w:val="0"/>
                <w:color w:val="000000"/>
                <w:sz w:val="28"/>
                <w:szCs w:val="28"/>
                <w:lang w:val="en-US"/>
              </w:rPr>
              <w:t>联系方式</w:t>
            </w:r>
          </w:p>
        </w:tc>
        <w:tc>
          <w:tcPr>
            <w:tcW w:w="3076" w:type="dxa"/>
            <w:vAlign w:val="center"/>
          </w:tcPr>
          <w:p w14:paraId="425131A2">
            <w:pPr>
              <w:rPr>
                <w:rFonts w:hint="eastAsia" w:ascii="Times New Roman" w:hAnsi="Times New Roman" w:eastAsia="仿宋_GB2312" w:cs="Times New Roman"/>
                <w:lang w:val="en-US"/>
              </w:rPr>
            </w:pPr>
            <w:r>
              <w:rPr>
                <w:rFonts w:hint="eastAsia" w:ascii="Times New Roman" w:hAnsi="Times New Roman" w:eastAsia="仿宋_GB2312" w:cs="Times New Roman"/>
                <w:lang w:val="en-US"/>
              </w:rPr>
              <w:t>18611685862</w:t>
            </w:r>
          </w:p>
        </w:tc>
        <w:tc>
          <w:tcPr>
            <w:tcW w:w="1073" w:type="dxa"/>
            <w:vAlign w:val="center"/>
          </w:tcPr>
          <w:p w14:paraId="7AC3BF69">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微信</w:t>
            </w:r>
          </w:p>
        </w:tc>
        <w:tc>
          <w:tcPr>
            <w:tcW w:w="2783" w:type="dxa"/>
            <w:vAlign w:val="center"/>
          </w:tcPr>
          <w:p w14:paraId="3D74244A">
            <w:pPr>
              <w:rPr>
                <w:rFonts w:eastAsia="方正仿宋简体"/>
              </w:rPr>
            </w:pPr>
            <w:r>
              <w:rPr>
                <w:rFonts w:hint="eastAsia" w:eastAsia="方正仿宋简体"/>
              </w:rPr>
              <w:t>18611685862</w:t>
            </w:r>
          </w:p>
        </w:tc>
      </w:tr>
    </w:tbl>
    <w:p w14:paraId="6148CA71">
      <w:pPr>
        <w:tabs>
          <w:tab w:val="left" w:pos="8640"/>
        </w:tabs>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二、选题说明</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37CD80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98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445845F">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rPr>
              <w:t>选题</w:t>
            </w:r>
            <w:r>
              <w:rPr>
                <w:rFonts w:hint="eastAsia" w:ascii="楷体_GB2312" w:hAnsi="楷体_GB2312" w:eastAsia="楷体_GB2312" w:cs="楷体_GB2312"/>
                <w:b w:val="0"/>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AD84783">
            <w:pPr>
              <w:rPr>
                <w:rFonts w:eastAsia="仿宋_GB2312"/>
              </w:rPr>
            </w:pPr>
            <w:r>
              <w:rPr>
                <w:rFonts w:hint="eastAsia" w:eastAsia="仿宋_GB2312"/>
              </w:rPr>
              <w:t>新型模块化线控底盘架构设计与应用</w:t>
            </w:r>
          </w:p>
        </w:tc>
      </w:tr>
      <w:tr w14:paraId="19E3D9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8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C3E6A92">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4CC1D77">
            <w:pPr>
              <w:rPr>
                <w:rFonts w:eastAsia="仿宋_GB2312"/>
              </w:rPr>
            </w:pPr>
            <w:r>
              <w:rPr>
                <w:rFonts w:hint="eastAsia" w:eastAsia="仿宋_GB2312"/>
              </w:rPr>
              <w:t>新能源汽车；智能汽车与自动驾驶；汽车电子与电控系统；控制科学与工程；机械工程与车辆工程</w:t>
            </w:r>
          </w:p>
        </w:tc>
      </w:tr>
      <w:tr w14:paraId="1DFEBC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5618"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8712ACF">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5DBAC23">
            <w:pPr>
              <w:rPr>
                <w:rFonts w:eastAsia="仿宋_GB2312"/>
                <w:lang w:val="en-US"/>
              </w:rPr>
            </w:pPr>
            <w:r>
              <w:rPr>
                <w:rFonts w:hint="eastAsia" w:eastAsia="仿宋_GB2312"/>
                <w:lang w:val="en-US"/>
              </w:rPr>
              <w:t>电动化、智能化成为汽车产业主流的发展趋势，底盘作为车辆运动的核心载体，亟需突破传统机械架构的局限，向高度集成化、智能化方向演进，新型线控底盘架构成为了新一轮的研究焦点。</w:t>
            </w:r>
          </w:p>
          <w:p w14:paraId="0767BE5E">
            <w:pPr>
              <w:rPr>
                <w:rFonts w:eastAsia="仿宋_GB2312"/>
                <w:lang w:val="en-US"/>
              </w:rPr>
            </w:pPr>
            <w:r>
              <w:rPr>
                <w:rFonts w:hint="eastAsia" w:eastAsia="仿宋_GB2312"/>
                <w:lang w:val="en-US"/>
              </w:rPr>
              <w:t>滑板底盘、角模块底盘等模块化线控底盘均以高度集成化和灵活适配性为核心优势，通过技术革新重构传统汽车制造逻辑，兼容多种车型和场景需求。然而，现有模块化线控底盘技术仍然面临三大难题：</w:t>
            </w:r>
            <w:r>
              <w:rPr>
                <w:rFonts w:eastAsia="仿宋_GB2312"/>
                <w:lang w:val="en-US"/>
              </w:rPr>
              <w:t>1</w:t>
            </w:r>
            <w:r>
              <w:rPr>
                <w:rFonts w:hint="eastAsia" w:eastAsia="仿宋_GB2312"/>
                <w:lang w:val="en-US"/>
              </w:rPr>
              <w:t>）构型优选难题：如何优选模块化行驶单元构型，兼顾底盘集成度、支撑刚度；</w:t>
            </w:r>
            <w:r>
              <w:rPr>
                <w:rFonts w:eastAsia="仿宋_GB2312"/>
                <w:lang w:val="en-US"/>
              </w:rPr>
              <w:t>2</w:t>
            </w:r>
            <w:r>
              <w:rPr>
                <w:rFonts w:hint="eastAsia" w:eastAsia="仿宋_GB2312"/>
                <w:lang w:val="en-US"/>
              </w:rPr>
              <w:t>）功能解耦设计：如何解决多系统功能耦合冲突问题，提升底盘运动自由度，实现车辆多模态运动；</w:t>
            </w:r>
            <w:r>
              <w:rPr>
                <w:rFonts w:eastAsia="仿宋_GB2312"/>
                <w:lang w:val="en-US"/>
              </w:rPr>
              <w:t>3</w:t>
            </w:r>
            <w:r>
              <w:rPr>
                <w:rFonts w:hint="eastAsia" w:eastAsia="仿宋_GB2312"/>
                <w:lang w:val="en-US"/>
              </w:rPr>
              <w:t>）协同控制技术：如何实现多维协同控制，提升底盘运动适应性，拓宽多种工况下车辆整体性能边界。</w:t>
            </w:r>
          </w:p>
          <w:p w14:paraId="264AF64B">
            <w:pPr>
              <w:rPr>
                <w:rFonts w:eastAsia="仿宋_GB2312"/>
                <w:bCs/>
                <w:lang w:val="en-US"/>
              </w:rPr>
            </w:pPr>
            <w:r>
              <w:rPr>
                <w:rFonts w:hint="eastAsia" w:eastAsia="仿宋_GB2312"/>
                <w:lang w:val="en-US"/>
              </w:rPr>
              <w:t>因此，本题目以模块化线控底盘为研究对象，期望解决模块化行驶单元构型优选、执行系统功能解耦设计及智能协同控制技术问题，为新能源汽车提供更高效、智能的移动平台，助力我国在全球汽车产业竞争中占据先发优势。</w:t>
            </w:r>
          </w:p>
        </w:tc>
      </w:tr>
      <w:tr w14:paraId="373980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9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0266EB6">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1F69EA9">
            <w:pPr>
              <w:rPr>
                <w:rFonts w:eastAsia="仿宋_GB2312"/>
              </w:rPr>
            </w:pPr>
            <w:r>
              <w:rPr>
                <w:rFonts w:hint="eastAsia" w:eastAsia="仿宋_GB2312"/>
              </w:rPr>
              <w:t>一、作品形式</w:t>
            </w:r>
          </w:p>
          <w:p w14:paraId="4D31AAFC">
            <w:pPr>
              <w:rPr>
                <w:rFonts w:eastAsia="仿宋_GB2312"/>
              </w:rPr>
            </w:pPr>
            <w:r>
              <w:rPr>
                <w:rFonts w:hint="eastAsia" w:eastAsia="仿宋_GB2312"/>
                <w:lang w:eastAsia="zh-CN"/>
              </w:rPr>
              <w:t>1.</w:t>
            </w:r>
            <w:r>
              <w:rPr>
                <w:rFonts w:hint="eastAsia" w:eastAsia="仿宋_GB2312"/>
              </w:rPr>
              <w:t>材料文档：内容包括但不限于作品技术报告、作品展示（包括但不限于视频、模型展示）等文档。</w:t>
            </w:r>
          </w:p>
          <w:p w14:paraId="05796D7A">
            <w:pPr>
              <w:rPr>
                <w:rFonts w:eastAsia="仿宋_GB2312"/>
              </w:rPr>
            </w:pPr>
            <w:r>
              <w:rPr>
                <w:rFonts w:hint="eastAsia" w:eastAsia="仿宋_GB2312"/>
                <w:lang w:eastAsia="zh-CN"/>
              </w:rPr>
              <w:t>2.</w:t>
            </w:r>
            <w:r>
              <w:rPr>
                <w:rFonts w:hint="eastAsia" w:eastAsia="仿宋_GB2312"/>
              </w:rPr>
              <w:t>软件模块：作品的源代码、仿真模型等，完成作品模型在环仿真验证，确保程序可运行。</w:t>
            </w:r>
          </w:p>
          <w:p w14:paraId="1E699253">
            <w:pPr>
              <w:rPr>
                <w:rFonts w:eastAsia="仿宋_GB2312"/>
              </w:rPr>
            </w:pPr>
            <w:r>
              <w:rPr>
                <w:rFonts w:hint="eastAsia" w:eastAsia="仿宋_GB2312"/>
              </w:rPr>
              <w:t>二、作品要求</w:t>
            </w:r>
          </w:p>
          <w:p w14:paraId="531F4C0C">
            <w:pPr>
              <w:rPr>
                <w:rFonts w:eastAsia="仿宋_GB2312"/>
              </w:rPr>
            </w:pPr>
            <w:r>
              <w:rPr>
                <w:rFonts w:hint="eastAsia" w:eastAsia="仿宋_GB2312"/>
                <w:lang w:eastAsia="zh-CN"/>
              </w:rPr>
              <w:t>1.</w:t>
            </w:r>
            <w:r>
              <w:rPr>
                <w:rFonts w:hint="eastAsia" w:eastAsia="仿宋_GB2312"/>
              </w:rPr>
              <w:t>参赛者需要在充分调研滑板底盘、角模块底盘等线控底盘产品及研究文献的基础上，提出模块化线控底盘架构设计方案（至少能实现原地转向、蟹行等运动模式）；</w:t>
            </w:r>
          </w:p>
          <w:p w14:paraId="72B556A7">
            <w:pPr>
              <w:rPr>
                <w:rFonts w:eastAsia="仿宋_GB2312"/>
              </w:rPr>
            </w:pPr>
            <w:r>
              <w:rPr>
                <w:rFonts w:hint="eastAsia" w:eastAsia="仿宋_GB2312"/>
                <w:lang w:eastAsia="zh-CN"/>
              </w:rPr>
              <w:t>2.</w:t>
            </w:r>
            <w:r>
              <w:rPr>
                <w:rFonts w:hint="eastAsia" w:eastAsia="仿宋_GB2312"/>
              </w:rPr>
              <w:t>参赛者需要根据设计方案制作模型、实物，并完成协同控制策略开发（包含但不限于底盘</w:t>
            </w:r>
            <w:r>
              <w:rPr>
                <w:rFonts w:eastAsia="仿宋_GB2312"/>
              </w:rPr>
              <w:t>-</w:t>
            </w:r>
            <w:r>
              <w:rPr>
                <w:rFonts w:hint="eastAsia" w:eastAsia="仿宋_GB2312"/>
              </w:rPr>
              <w:t>路面状态感知、动态运动控制技术等）；</w:t>
            </w:r>
          </w:p>
          <w:p w14:paraId="31CA2CE5">
            <w:pPr>
              <w:rPr>
                <w:rFonts w:eastAsia="仿宋_GB2312"/>
              </w:rPr>
            </w:pPr>
            <w:r>
              <w:rPr>
                <w:rFonts w:hint="eastAsia" w:eastAsia="仿宋_GB2312"/>
                <w:lang w:eastAsia="zh-CN"/>
              </w:rPr>
              <w:t>3.</w:t>
            </w:r>
            <w:r>
              <w:rPr>
                <w:rFonts w:hint="eastAsia" w:eastAsia="仿宋_GB2312"/>
              </w:rPr>
              <w:t>参赛者必须保证作品的原创性，杜绝一切抄袭或剽窃他人成果的作品参赛，参赛者应严格遵守国家有关知识产权保护的规定，不得侵犯任何第三方的知识产权或其他权利，如引发的知识产权纠纷，责任由参赛者自负；</w:t>
            </w:r>
          </w:p>
          <w:p w14:paraId="34291A25">
            <w:pPr>
              <w:rPr>
                <w:rFonts w:eastAsia="仿宋_GB2312"/>
              </w:rPr>
            </w:pPr>
            <w:r>
              <w:rPr>
                <w:rFonts w:hint="eastAsia" w:eastAsia="仿宋_GB2312"/>
                <w:lang w:eastAsia="zh-CN"/>
              </w:rPr>
              <w:t>4.</w:t>
            </w:r>
            <w:r>
              <w:rPr>
                <w:rFonts w:hint="eastAsia" w:eastAsia="仿宋_GB2312"/>
              </w:rPr>
              <w:t>参赛作品提交的材料原则上不予退还，请参赛者自行保存底稿。作品已获得国际竞赛、国家级奖励和其他全国性竞赛获奖作品的，不在申报作品范围之列。</w:t>
            </w:r>
          </w:p>
          <w:p w14:paraId="27DCC5D3">
            <w:pPr>
              <w:rPr>
                <w:rFonts w:eastAsia="仿宋_GB2312"/>
              </w:rPr>
            </w:pPr>
            <w:r>
              <w:rPr>
                <w:rFonts w:hint="eastAsia" w:eastAsia="仿宋_GB2312"/>
              </w:rPr>
              <w:t>三、时间要求</w:t>
            </w:r>
          </w:p>
          <w:p w14:paraId="18EEAC88">
            <w:pPr>
              <w:rPr>
                <w:rFonts w:eastAsia="仿宋_GB2312"/>
              </w:rPr>
            </w:pPr>
            <w:r>
              <w:rPr>
                <w:rFonts w:eastAsia="仿宋_GB2312"/>
              </w:rPr>
              <w:t>2026</w:t>
            </w:r>
            <w:r>
              <w:rPr>
                <w:rFonts w:hint="eastAsia" w:eastAsia="仿宋_GB2312"/>
              </w:rPr>
              <w:t>年</w:t>
            </w:r>
            <w:r>
              <w:rPr>
                <w:rFonts w:eastAsia="仿宋_GB2312"/>
              </w:rPr>
              <w:t>3</w:t>
            </w:r>
            <w:r>
              <w:rPr>
                <w:rFonts w:hint="eastAsia" w:eastAsia="仿宋_GB2312"/>
              </w:rPr>
              <w:t>月</w:t>
            </w:r>
            <w:r>
              <w:rPr>
                <w:rFonts w:eastAsia="仿宋_GB2312"/>
              </w:rPr>
              <w:t>-2026</w:t>
            </w:r>
            <w:r>
              <w:rPr>
                <w:rFonts w:hint="eastAsia" w:eastAsia="仿宋_GB2312"/>
              </w:rPr>
              <w:t>年</w:t>
            </w:r>
            <w:r>
              <w:rPr>
                <w:rFonts w:eastAsia="仿宋_GB2312"/>
              </w:rPr>
              <w:t>5</w:t>
            </w:r>
            <w:r>
              <w:rPr>
                <w:rFonts w:hint="eastAsia" w:eastAsia="仿宋_GB2312"/>
              </w:rPr>
              <w:t>月，各参赛团队选择榜单中的题目开展研发攻关，</w:t>
            </w:r>
            <w:r>
              <w:rPr>
                <w:rFonts w:eastAsia="仿宋_GB2312"/>
              </w:rPr>
              <w:t>5</w:t>
            </w:r>
            <w:r>
              <w:rPr>
                <w:rFonts w:hint="eastAsia" w:eastAsia="仿宋_GB2312"/>
              </w:rPr>
              <w:t>月</w:t>
            </w:r>
            <w:r>
              <w:rPr>
                <w:rFonts w:eastAsia="仿宋_GB2312"/>
              </w:rPr>
              <w:t>31</w:t>
            </w:r>
            <w:r>
              <w:rPr>
                <w:rFonts w:hint="eastAsia" w:eastAsia="仿宋_GB2312"/>
              </w:rPr>
              <w:t>日前向组委会提交作品，</w:t>
            </w:r>
            <w:r>
              <w:rPr>
                <w:rFonts w:eastAsia="仿宋_GB2312"/>
              </w:rPr>
              <w:t>5-6</w:t>
            </w:r>
            <w:r>
              <w:rPr>
                <w:rFonts w:hint="eastAsia" w:eastAsia="仿宋_GB2312"/>
              </w:rPr>
              <w:t>月组委会和出题单位共同开展评审，获得“特等奖”的团队参加现场擂台赛决出擂主。</w:t>
            </w:r>
          </w:p>
        </w:tc>
      </w:tr>
      <w:tr w14:paraId="702CBF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205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14A01B">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作品评审</w:t>
            </w:r>
          </w:p>
          <w:p w14:paraId="15FE1430">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A1389C">
            <w:pPr>
              <w:rPr>
                <w:rFonts w:eastAsia="仿宋_GB2312"/>
              </w:rPr>
            </w:pPr>
            <w:r>
              <w:rPr>
                <w:rFonts w:hint="eastAsia" w:eastAsia="仿宋_GB2312"/>
              </w:rPr>
              <w:t>评委主要按照作品立项合理性、作品完整性、指标先进性和作品创新性</w:t>
            </w:r>
            <w:r>
              <w:rPr>
                <w:rFonts w:eastAsia="仿宋_GB2312"/>
              </w:rPr>
              <w:t>4</w:t>
            </w:r>
            <w:r>
              <w:rPr>
                <w:rFonts w:hint="eastAsia" w:eastAsia="仿宋_GB2312"/>
              </w:rPr>
              <w:t>个方面进行综合评价。</w:t>
            </w:r>
          </w:p>
          <w:p w14:paraId="070576F1">
            <w:pPr>
              <w:rPr>
                <w:rFonts w:eastAsia="仿宋_GB2312"/>
              </w:rPr>
            </w:pPr>
            <w:r>
              <w:rPr>
                <w:rFonts w:hint="eastAsia" w:eastAsia="仿宋_GB2312"/>
              </w:rPr>
              <w:t>一、立项合理性：</w:t>
            </w:r>
            <w:r>
              <w:rPr>
                <w:rFonts w:eastAsia="仿宋_GB2312"/>
              </w:rPr>
              <w:t>25</w:t>
            </w:r>
            <w:r>
              <w:rPr>
                <w:rFonts w:hint="eastAsia" w:eastAsia="仿宋_GB2312"/>
              </w:rPr>
              <w:t>分</w:t>
            </w:r>
          </w:p>
          <w:p w14:paraId="77B0ACDA">
            <w:pPr>
              <w:rPr>
                <w:rFonts w:eastAsia="仿宋_GB2312"/>
              </w:rPr>
            </w:pPr>
            <w:r>
              <w:rPr>
                <w:rFonts w:hint="eastAsia" w:eastAsia="仿宋_GB2312"/>
              </w:rPr>
              <w:t>针对研究过程的合理性对作品进行考察，主要从国内外研究调研分析、底盘架构方案合理性、研究思路、技术路线、可行性等五个维度进行综合评价，各维度所占分值情况如下：</w:t>
            </w:r>
          </w:p>
          <w:p w14:paraId="4FE414F7">
            <w:pPr>
              <w:rPr>
                <w:rFonts w:eastAsia="仿宋_GB2312"/>
              </w:rPr>
            </w:pPr>
            <w:r>
              <w:rPr>
                <w:rFonts w:eastAsia="仿宋_GB2312"/>
              </w:rPr>
              <w:t>1.</w:t>
            </w:r>
            <w:r>
              <w:rPr>
                <w:rFonts w:eastAsia="仿宋_GB2312"/>
              </w:rPr>
              <w:tab/>
            </w:r>
            <w:r>
              <w:rPr>
                <w:rFonts w:hint="eastAsia" w:eastAsia="仿宋_GB2312"/>
              </w:rPr>
              <w:t>国内外研究现状调研分析全面性（分值：</w:t>
            </w:r>
            <w:r>
              <w:rPr>
                <w:rFonts w:eastAsia="仿宋_GB2312"/>
              </w:rPr>
              <w:t>5</w:t>
            </w:r>
            <w:r>
              <w:rPr>
                <w:rFonts w:hint="eastAsia" w:eastAsia="仿宋_GB2312"/>
              </w:rPr>
              <w:t>分）</w:t>
            </w:r>
          </w:p>
          <w:p w14:paraId="7C05259D">
            <w:pPr>
              <w:rPr>
                <w:rFonts w:eastAsia="仿宋_GB2312"/>
              </w:rPr>
            </w:pPr>
            <w:r>
              <w:rPr>
                <w:rFonts w:eastAsia="仿宋_GB2312"/>
              </w:rPr>
              <w:t>2.</w:t>
            </w:r>
            <w:r>
              <w:rPr>
                <w:rFonts w:eastAsia="仿宋_GB2312"/>
              </w:rPr>
              <w:tab/>
            </w:r>
            <w:r>
              <w:rPr>
                <w:rFonts w:hint="eastAsia" w:eastAsia="仿宋_GB2312"/>
              </w:rPr>
              <w:t>底盘架构方案合理性（分值：</w:t>
            </w:r>
            <w:r>
              <w:rPr>
                <w:rFonts w:eastAsia="仿宋_GB2312"/>
              </w:rPr>
              <w:t>5</w:t>
            </w:r>
            <w:r>
              <w:rPr>
                <w:rFonts w:hint="eastAsia" w:eastAsia="仿宋_GB2312"/>
              </w:rPr>
              <w:t>分）</w:t>
            </w:r>
          </w:p>
          <w:p w14:paraId="6C80E8BA">
            <w:pPr>
              <w:rPr>
                <w:rFonts w:eastAsia="仿宋_GB2312"/>
              </w:rPr>
            </w:pPr>
            <w:r>
              <w:rPr>
                <w:rFonts w:eastAsia="仿宋_GB2312"/>
              </w:rPr>
              <w:t>3.</w:t>
            </w:r>
            <w:r>
              <w:rPr>
                <w:rFonts w:eastAsia="仿宋_GB2312"/>
              </w:rPr>
              <w:tab/>
            </w:r>
            <w:r>
              <w:rPr>
                <w:rFonts w:hint="eastAsia" w:eastAsia="仿宋_GB2312"/>
              </w:rPr>
              <w:t>研究思路合理性（分值：</w:t>
            </w:r>
            <w:r>
              <w:rPr>
                <w:rFonts w:eastAsia="仿宋_GB2312"/>
              </w:rPr>
              <w:t>5</w:t>
            </w:r>
            <w:r>
              <w:rPr>
                <w:rFonts w:hint="eastAsia" w:eastAsia="仿宋_GB2312"/>
              </w:rPr>
              <w:t>分）</w:t>
            </w:r>
          </w:p>
          <w:p w14:paraId="286D089B">
            <w:pPr>
              <w:rPr>
                <w:rFonts w:eastAsia="仿宋_GB2312"/>
              </w:rPr>
            </w:pPr>
            <w:r>
              <w:rPr>
                <w:rFonts w:eastAsia="仿宋_GB2312"/>
              </w:rPr>
              <w:t>4.</w:t>
            </w:r>
            <w:r>
              <w:rPr>
                <w:rFonts w:eastAsia="仿宋_GB2312"/>
              </w:rPr>
              <w:tab/>
            </w:r>
            <w:r>
              <w:rPr>
                <w:rFonts w:hint="eastAsia" w:eastAsia="仿宋_GB2312"/>
              </w:rPr>
              <w:t>技术路线可行性（分值：</w:t>
            </w:r>
            <w:r>
              <w:rPr>
                <w:rFonts w:eastAsia="仿宋_GB2312"/>
              </w:rPr>
              <w:t>5</w:t>
            </w:r>
            <w:r>
              <w:rPr>
                <w:rFonts w:hint="eastAsia" w:eastAsia="仿宋_GB2312"/>
              </w:rPr>
              <w:t>分）</w:t>
            </w:r>
          </w:p>
          <w:p w14:paraId="79EFDE79">
            <w:pPr>
              <w:rPr>
                <w:rFonts w:eastAsia="仿宋_GB2312"/>
              </w:rPr>
            </w:pPr>
            <w:r>
              <w:rPr>
                <w:rFonts w:eastAsia="仿宋_GB2312"/>
              </w:rPr>
              <w:t>5.</w:t>
            </w:r>
            <w:r>
              <w:rPr>
                <w:rFonts w:eastAsia="仿宋_GB2312"/>
              </w:rPr>
              <w:tab/>
            </w:r>
            <w:r>
              <w:rPr>
                <w:rFonts w:hint="eastAsia" w:eastAsia="仿宋_GB2312"/>
              </w:rPr>
              <w:t>工程可实现性（分值：</w:t>
            </w:r>
            <w:r>
              <w:rPr>
                <w:rFonts w:eastAsia="仿宋_GB2312"/>
              </w:rPr>
              <w:t>5</w:t>
            </w:r>
            <w:r>
              <w:rPr>
                <w:rFonts w:hint="eastAsia" w:eastAsia="仿宋_GB2312"/>
              </w:rPr>
              <w:t>分）</w:t>
            </w:r>
          </w:p>
          <w:p w14:paraId="0236C2B2">
            <w:pPr>
              <w:rPr>
                <w:rFonts w:eastAsia="仿宋_GB2312"/>
              </w:rPr>
            </w:pPr>
            <w:r>
              <w:rPr>
                <w:rFonts w:hint="eastAsia" w:eastAsia="仿宋_GB2312"/>
              </w:rPr>
              <w:t>二、作品完整性：</w:t>
            </w:r>
            <w:r>
              <w:rPr>
                <w:rFonts w:eastAsia="仿宋_GB2312"/>
              </w:rPr>
              <w:t>15</w:t>
            </w:r>
            <w:r>
              <w:rPr>
                <w:rFonts w:hint="eastAsia" w:eastAsia="仿宋_GB2312"/>
              </w:rPr>
              <w:t>分</w:t>
            </w:r>
          </w:p>
          <w:p w14:paraId="09D7C829">
            <w:pPr>
              <w:rPr>
                <w:rFonts w:eastAsia="仿宋_GB2312"/>
              </w:rPr>
            </w:pPr>
            <w:r>
              <w:rPr>
                <w:rFonts w:eastAsia="仿宋_GB2312"/>
              </w:rPr>
              <w:t>1.</w:t>
            </w:r>
            <w:r>
              <w:rPr>
                <w:rFonts w:eastAsia="仿宋_GB2312"/>
              </w:rPr>
              <w:tab/>
            </w:r>
            <w:r>
              <w:rPr>
                <w:rFonts w:hint="eastAsia" w:eastAsia="仿宋_GB2312"/>
              </w:rPr>
              <w:t>作品的源代码可以在计算机进行软件在环仿真，在硬件在环设备及实车试验中得到验证。（分值：</w:t>
            </w:r>
            <w:r>
              <w:rPr>
                <w:rFonts w:eastAsia="仿宋_GB2312"/>
              </w:rPr>
              <w:t>10</w:t>
            </w:r>
            <w:r>
              <w:rPr>
                <w:rFonts w:hint="eastAsia" w:eastAsia="仿宋_GB2312"/>
              </w:rPr>
              <w:t>分）</w:t>
            </w:r>
          </w:p>
          <w:p w14:paraId="362687CB">
            <w:pPr>
              <w:rPr>
                <w:rFonts w:eastAsia="仿宋_GB2312"/>
              </w:rPr>
            </w:pPr>
            <w:r>
              <w:rPr>
                <w:rFonts w:eastAsia="仿宋_GB2312"/>
              </w:rPr>
              <w:t>2.</w:t>
            </w:r>
            <w:r>
              <w:rPr>
                <w:rFonts w:eastAsia="仿宋_GB2312"/>
              </w:rPr>
              <w:tab/>
            </w:r>
            <w:r>
              <w:rPr>
                <w:rFonts w:hint="eastAsia" w:eastAsia="仿宋_GB2312"/>
              </w:rPr>
              <w:t>作品技术报告、作品展示等文档完整、规范。（分值：</w:t>
            </w:r>
            <w:r>
              <w:rPr>
                <w:rFonts w:eastAsia="仿宋_GB2312"/>
              </w:rPr>
              <w:t>5</w:t>
            </w:r>
            <w:r>
              <w:rPr>
                <w:rFonts w:hint="eastAsia" w:eastAsia="仿宋_GB2312"/>
              </w:rPr>
              <w:t>分）</w:t>
            </w:r>
          </w:p>
          <w:p w14:paraId="7F34385F">
            <w:pPr>
              <w:rPr>
                <w:rFonts w:eastAsia="仿宋_GB2312"/>
              </w:rPr>
            </w:pPr>
            <w:r>
              <w:rPr>
                <w:rFonts w:hint="eastAsia" w:eastAsia="仿宋_GB2312"/>
              </w:rPr>
              <w:t>三、指标先进性：</w:t>
            </w:r>
            <w:r>
              <w:rPr>
                <w:rFonts w:eastAsia="仿宋_GB2312"/>
              </w:rPr>
              <w:t>40</w:t>
            </w:r>
            <w:r>
              <w:rPr>
                <w:rFonts w:hint="eastAsia" w:eastAsia="仿宋_GB2312"/>
              </w:rPr>
              <w:t>分</w:t>
            </w:r>
          </w:p>
          <w:p w14:paraId="116389ED">
            <w:pPr>
              <w:rPr>
                <w:rFonts w:eastAsia="仿宋_GB2312"/>
              </w:rPr>
            </w:pPr>
            <w:r>
              <w:rPr>
                <w:rFonts w:eastAsia="仿宋_GB2312"/>
              </w:rPr>
              <w:t>1.</w:t>
            </w:r>
            <w:r>
              <w:rPr>
                <w:rFonts w:eastAsia="仿宋_GB2312"/>
              </w:rPr>
              <w:tab/>
            </w:r>
            <w:r>
              <w:rPr>
                <w:rFonts w:hint="eastAsia" w:eastAsia="仿宋_GB2312"/>
              </w:rPr>
              <w:t>所设计模块化行驶单元均可自由旋转、垂向独立作动、与整车单一机械接口，机构紧凑且支撑刚度好，驱动、制动、转向、悬架执行系统均能实现主动控制，搭载在至少</w:t>
            </w:r>
            <w:r>
              <w:rPr>
                <w:rFonts w:eastAsia="仿宋_GB2312"/>
              </w:rPr>
              <w:t>5</w:t>
            </w:r>
            <w:r>
              <w:rPr>
                <w:rFonts w:hint="eastAsia" w:eastAsia="仿宋_GB2312"/>
              </w:rPr>
              <w:t>款车型上（分值：</w:t>
            </w:r>
            <w:r>
              <w:rPr>
                <w:rFonts w:eastAsia="仿宋_GB2312"/>
              </w:rPr>
              <w:t>10</w:t>
            </w:r>
            <w:r>
              <w:rPr>
                <w:rFonts w:hint="eastAsia" w:eastAsia="仿宋_GB2312"/>
              </w:rPr>
              <w:t>分）</w:t>
            </w:r>
          </w:p>
          <w:p w14:paraId="32AF14DA">
            <w:pPr>
              <w:rPr>
                <w:rFonts w:eastAsia="仿宋_GB2312"/>
              </w:rPr>
            </w:pPr>
            <w:r>
              <w:rPr>
                <w:rFonts w:eastAsia="仿宋_GB2312"/>
              </w:rPr>
              <w:t xml:space="preserve">2.  </w:t>
            </w:r>
            <w:r>
              <w:rPr>
                <w:rFonts w:hint="eastAsia" w:eastAsia="仿宋_GB2312"/>
              </w:rPr>
              <w:t>模块化行驶单元各性能目标</w:t>
            </w:r>
          </w:p>
          <w:p w14:paraId="01BFBB2D">
            <w:pPr>
              <w:rPr>
                <w:rFonts w:eastAsia="仿宋_GB2312"/>
              </w:rPr>
            </w:pPr>
            <w:r>
              <w:rPr>
                <w:rFonts w:eastAsia="仿宋_GB2312"/>
              </w:rPr>
              <w:t>1</w:t>
            </w:r>
            <w:r>
              <w:rPr>
                <w:rFonts w:hint="eastAsia" w:eastAsia="仿宋_GB2312"/>
              </w:rPr>
              <w:t>）驱动性能：模块化单元轮端最大扭矩密度不低于</w:t>
            </w:r>
            <w:r>
              <w:rPr>
                <w:rFonts w:eastAsia="仿宋_GB2312"/>
              </w:rPr>
              <w:t>10Nm/kg</w:t>
            </w:r>
            <w:r>
              <w:rPr>
                <w:rFonts w:hint="eastAsia" w:eastAsia="仿宋_GB2312"/>
              </w:rPr>
              <w:t>、最大功率密度不低于</w:t>
            </w:r>
            <w:r>
              <w:rPr>
                <w:rFonts w:eastAsia="仿宋_GB2312"/>
              </w:rPr>
              <w:t>0.9kW/kg</w:t>
            </w:r>
            <w:r>
              <w:rPr>
                <w:rFonts w:hint="eastAsia" w:eastAsia="仿宋_GB2312"/>
              </w:rPr>
              <w:t>、最高效率不低于</w:t>
            </w:r>
            <w:r>
              <w:rPr>
                <w:rFonts w:eastAsia="仿宋_GB2312"/>
              </w:rPr>
              <w:t>90%</w:t>
            </w:r>
            <w:r>
              <w:rPr>
                <w:rFonts w:hint="eastAsia" w:eastAsia="仿宋_GB2312"/>
              </w:rPr>
              <w:t>、最大扭矩驱动响应时间不高于</w:t>
            </w:r>
            <w:r>
              <w:rPr>
                <w:rFonts w:eastAsia="仿宋_GB2312"/>
              </w:rPr>
              <w:t>300ms</w:t>
            </w:r>
            <w:r>
              <w:rPr>
                <w:rFonts w:hint="eastAsia" w:eastAsia="仿宋_GB2312"/>
              </w:rPr>
              <w:t>，可采用轮毂驱动或轮边驱动（分值：</w:t>
            </w:r>
            <w:r>
              <w:rPr>
                <w:rFonts w:eastAsia="仿宋_GB2312"/>
              </w:rPr>
              <w:t>5</w:t>
            </w:r>
            <w:r>
              <w:rPr>
                <w:rFonts w:hint="eastAsia" w:eastAsia="仿宋_GB2312"/>
              </w:rPr>
              <w:t>分）</w:t>
            </w:r>
          </w:p>
          <w:p w14:paraId="337C67DE">
            <w:pPr>
              <w:rPr>
                <w:rFonts w:eastAsia="仿宋_GB2312"/>
              </w:rPr>
            </w:pPr>
            <w:r>
              <w:rPr>
                <w:rFonts w:eastAsia="仿宋_GB2312"/>
              </w:rPr>
              <w:t>2</w:t>
            </w:r>
            <w:r>
              <w:rPr>
                <w:rFonts w:hint="eastAsia" w:eastAsia="仿宋_GB2312"/>
              </w:rPr>
              <w:t>）制动性能：制动组件最大制动夹紧力不低于</w:t>
            </w:r>
            <w:r>
              <w:rPr>
                <w:rFonts w:eastAsia="仿宋_GB2312"/>
              </w:rPr>
              <w:t>15000N</w:t>
            </w:r>
            <w:r>
              <w:rPr>
                <w:rFonts w:hint="eastAsia" w:eastAsia="仿宋_GB2312"/>
              </w:rPr>
              <w:t>、制动力响应时间不高于</w:t>
            </w:r>
            <w:r>
              <w:rPr>
                <w:rFonts w:eastAsia="仿宋_GB2312"/>
              </w:rPr>
              <w:t>150ms</w:t>
            </w:r>
            <w:r>
              <w:rPr>
                <w:rFonts w:hint="eastAsia" w:eastAsia="仿宋_GB2312"/>
              </w:rPr>
              <w:t>，优选电子机械制动组件（分值：</w:t>
            </w:r>
            <w:r>
              <w:rPr>
                <w:rFonts w:eastAsia="仿宋_GB2312"/>
              </w:rPr>
              <w:t>5</w:t>
            </w:r>
            <w:r>
              <w:rPr>
                <w:rFonts w:hint="eastAsia" w:eastAsia="仿宋_GB2312"/>
              </w:rPr>
              <w:t>分）</w:t>
            </w:r>
          </w:p>
          <w:p w14:paraId="46A9842B">
            <w:pPr>
              <w:rPr>
                <w:rFonts w:eastAsia="仿宋_GB2312"/>
              </w:rPr>
            </w:pPr>
            <w:r>
              <w:rPr>
                <w:rFonts w:eastAsia="仿宋_GB2312"/>
              </w:rPr>
              <w:t>3</w:t>
            </w:r>
            <w:r>
              <w:rPr>
                <w:rFonts w:hint="eastAsia" w:eastAsia="仿宋_GB2312"/>
              </w:rPr>
              <w:t>）转向性能：模块化单元可实现</w:t>
            </w:r>
            <w:r>
              <w:rPr>
                <w:rFonts w:eastAsia="仿宋_GB2312"/>
              </w:rPr>
              <w:t>90°</w:t>
            </w:r>
            <w:r>
              <w:rPr>
                <w:rFonts w:hint="eastAsia" w:eastAsia="仿宋_GB2312"/>
              </w:rPr>
              <w:t>转向，转向组件输出最大力矩应克服</w:t>
            </w:r>
            <w:r>
              <w:rPr>
                <w:rFonts w:eastAsia="仿宋_GB2312"/>
              </w:rPr>
              <w:t>0.7</w:t>
            </w:r>
            <w:r>
              <w:rPr>
                <w:rFonts w:hint="eastAsia" w:eastAsia="仿宋_GB2312"/>
              </w:rPr>
              <w:t>附着系数路面下的单轮最大载荷下的转向阻力矩、输出最高转速不低于</w:t>
            </w:r>
            <w:r>
              <w:rPr>
                <w:rFonts w:eastAsia="仿宋_GB2312"/>
              </w:rPr>
              <w:t>60°/s</w:t>
            </w:r>
            <w:r>
              <w:rPr>
                <w:rFonts w:hint="eastAsia" w:eastAsia="仿宋_GB2312"/>
              </w:rPr>
              <w:t>、输出稳态转角精度不高于±</w:t>
            </w:r>
            <w:r>
              <w:rPr>
                <w:rFonts w:eastAsia="仿宋_GB2312"/>
              </w:rPr>
              <w:t>2°</w:t>
            </w:r>
            <w:r>
              <w:rPr>
                <w:rFonts w:hint="eastAsia" w:eastAsia="仿宋_GB2312"/>
              </w:rPr>
              <w:t>、刚强度满足整车最大承载要求（分值：</w:t>
            </w:r>
            <w:r>
              <w:rPr>
                <w:rFonts w:eastAsia="仿宋_GB2312"/>
              </w:rPr>
              <w:t>5</w:t>
            </w:r>
            <w:r>
              <w:rPr>
                <w:rFonts w:hint="eastAsia" w:eastAsia="仿宋_GB2312"/>
              </w:rPr>
              <w:t>分）</w:t>
            </w:r>
          </w:p>
          <w:p w14:paraId="70405244">
            <w:pPr>
              <w:rPr>
                <w:rFonts w:eastAsia="仿宋_GB2312"/>
              </w:rPr>
            </w:pPr>
            <w:r>
              <w:rPr>
                <w:rFonts w:eastAsia="仿宋_GB2312"/>
              </w:rPr>
              <w:t>4</w:t>
            </w:r>
            <w:r>
              <w:rPr>
                <w:rFonts w:hint="eastAsia" w:eastAsia="仿宋_GB2312"/>
              </w:rPr>
              <w:t>）悬架性能：悬架行程不小于±</w:t>
            </w:r>
            <w:r>
              <w:rPr>
                <w:rFonts w:eastAsia="仿宋_GB2312"/>
              </w:rPr>
              <w:t>80mm</w:t>
            </w:r>
            <w:r>
              <w:rPr>
                <w:rFonts w:hint="eastAsia" w:eastAsia="仿宋_GB2312"/>
              </w:rPr>
              <w:t>、悬架组件刚强度满足最大承载质量要求、具备优秀的缓冲地面冲击能力，优选全主动悬架（分值：</w:t>
            </w:r>
            <w:r>
              <w:rPr>
                <w:rFonts w:eastAsia="仿宋_GB2312"/>
              </w:rPr>
              <w:t>5</w:t>
            </w:r>
            <w:r>
              <w:rPr>
                <w:rFonts w:hint="eastAsia" w:eastAsia="仿宋_GB2312"/>
              </w:rPr>
              <w:t>分）</w:t>
            </w:r>
          </w:p>
          <w:p w14:paraId="6EA0E313">
            <w:pPr>
              <w:rPr>
                <w:rFonts w:eastAsia="仿宋_GB2312"/>
              </w:rPr>
            </w:pPr>
            <w:r>
              <w:rPr>
                <w:rFonts w:eastAsia="仿宋_GB2312"/>
              </w:rPr>
              <w:t>3.</w:t>
            </w:r>
            <w:r>
              <w:rPr>
                <w:rFonts w:hint="eastAsia" w:eastAsia="仿宋_GB2312"/>
              </w:rPr>
              <w:t>所设计底盘架构支持原地转向、横向行驶、斜向行驶、四轮转向四种驾驶模式，其中原地转向掉头时间小于</w:t>
            </w:r>
            <w:r>
              <w:rPr>
                <w:rFonts w:eastAsia="仿宋_GB2312"/>
              </w:rPr>
              <w:t>8s</w:t>
            </w:r>
            <w:r>
              <w:rPr>
                <w:rFonts w:hint="eastAsia" w:eastAsia="仿宋_GB2312"/>
              </w:rPr>
              <w:t>、斜向行驶角度大于</w:t>
            </w:r>
            <w:r>
              <w:rPr>
                <w:rFonts w:eastAsia="仿宋_GB2312"/>
              </w:rPr>
              <w:t>40°</w:t>
            </w:r>
            <w:r>
              <w:rPr>
                <w:rFonts w:hint="eastAsia" w:eastAsia="仿宋_GB2312"/>
              </w:rPr>
              <w:t>、侧方停车时间小于</w:t>
            </w:r>
            <w:r>
              <w:rPr>
                <w:rFonts w:eastAsia="仿宋_GB2312"/>
              </w:rPr>
              <w:t>6s</w:t>
            </w:r>
            <w:r>
              <w:rPr>
                <w:rFonts w:hint="eastAsia" w:eastAsia="仿宋_GB2312"/>
              </w:rPr>
              <w:t>、四轮转向转弯半径小于</w:t>
            </w:r>
            <w:r>
              <w:rPr>
                <w:rFonts w:eastAsia="仿宋_GB2312"/>
              </w:rPr>
              <w:t>4.5m</w:t>
            </w:r>
            <w:r>
              <w:rPr>
                <w:rFonts w:hint="eastAsia" w:eastAsia="仿宋_GB2312"/>
              </w:rPr>
              <w:t>，城市道路工况轨迹跟踪精度</w:t>
            </w:r>
            <w:r>
              <w:rPr>
                <w:rFonts w:eastAsia="仿宋_GB2312"/>
              </w:rPr>
              <w:t>90%</w:t>
            </w:r>
            <w:r>
              <w:rPr>
                <w:rFonts w:hint="eastAsia" w:eastAsia="仿宋_GB2312"/>
              </w:rPr>
              <w:t>以上（分值：</w:t>
            </w:r>
            <w:r>
              <w:rPr>
                <w:rFonts w:eastAsia="仿宋_GB2312"/>
              </w:rPr>
              <w:t>10</w:t>
            </w:r>
            <w:r>
              <w:rPr>
                <w:rFonts w:hint="eastAsia" w:eastAsia="仿宋_GB2312"/>
              </w:rPr>
              <w:t>分）</w:t>
            </w:r>
          </w:p>
          <w:p w14:paraId="2D345128">
            <w:pPr>
              <w:rPr>
                <w:rFonts w:eastAsia="仿宋_GB2312"/>
              </w:rPr>
            </w:pPr>
            <w:r>
              <w:rPr>
                <w:rFonts w:hint="eastAsia" w:eastAsia="仿宋_GB2312"/>
              </w:rPr>
              <w:t>四、作品创新性：</w:t>
            </w:r>
            <w:r>
              <w:rPr>
                <w:rFonts w:eastAsia="仿宋_GB2312"/>
              </w:rPr>
              <w:t>20</w:t>
            </w:r>
            <w:r>
              <w:rPr>
                <w:rFonts w:hint="eastAsia" w:eastAsia="仿宋_GB2312"/>
              </w:rPr>
              <w:t>分</w:t>
            </w:r>
          </w:p>
          <w:p w14:paraId="4B1A2BBF">
            <w:pPr>
              <w:rPr>
                <w:rFonts w:eastAsia="仿宋_GB2312"/>
              </w:rPr>
            </w:pPr>
            <w:r>
              <w:rPr>
                <w:rFonts w:eastAsia="仿宋_GB2312"/>
              </w:rPr>
              <w:t>1.</w:t>
            </w:r>
            <w:r>
              <w:rPr>
                <w:rFonts w:eastAsia="仿宋_GB2312"/>
              </w:rPr>
              <w:tab/>
            </w:r>
            <w:r>
              <w:rPr>
                <w:rFonts w:hint="eastAsia" w:eastAsia="仿宋_GB2312"/>
              </w:rPr>
              <w:t>采用新理论、运用新方法对已有理论和算法进行重要完善，并完成作品，具体评分标准如下：</w:t>
            </w:r>
          </w:p>
          <w:p w14:paraId="460D0B6A">
            <w:pPr>
              <w:rPr>
                <w:rFonts w:eastAsia="仿宋_GB2312"/>
              </w:rPr>
            </w:pPr>
            <w:r>
              <w:rPr>
                <w:rFonts w:eastAsia="仿宋_GB2312"/>
              </w:rPr>
              <w:t>1</w:t>
            </w:r>
            <w:r>
              <w:rPr>
                <w:rFonts w:hint="eastAsia" w:eastAsia="仿宋_GB2312"/>
              </w:rPr>
              <w:t>）理论</w:t>
            </w:r>
            <w:r>
              <w:rPr>
                <w:rFonts w:eastAsia="仿宋_GB2312"/>
              </w:rPr>
              <w:t>/</w:t>
            </w:r>
            <w:r>
              <w:rPr>
                <w:rFonts w:hint="eastAsia" w:eastAsia="仿宋_GB2312"/>
              </w:rPr>
              <w:t>方法新颖性：在模块化底盘设计与应用方面明确提出了不同于主流方法的新思路、新算法或新架构（分值：</w:t>
            </w:r>
            <w:r>
              <w:rPr>
                <w:rFonts w:eastAsia="仿宋_GB2312"/>
              </w:rPr>
              <w:t>5</w:t>
            </w:r>
            <w:r>
              <w:rPr>
                <w:rFonts w:hint="eastAsia" w:eastAsia="仿宋_GB2312"/>
              </w:rPr>
              <w:t>分）</w:t>
            </w:r>
          </w:p>
          <w:p w14:paraId="7D7BB0DA">
            <w:pPr>
              <w:rPr>
                <w:rFonts w:eastAsia="仿宋_GB2312"/>
              </w:rPr>
            </w:pPr>
            <w:r>
              <w:rPr>
                <w:rFonts w:eastAsia="仿宋_GB2312"/>
              </w:rPr>
              <w:t>2</w:t>
            </w:r>
            <w:r>
              <w:rPr>
                <w:rFonts w:hint="eastAsia" w:eastAsia="仿宋_GB2312"/>
              </w:rPr>
              <w:t>）技术深度与难度：创新点涉及模块化单元设计方法、机构一体化设计的突破或底盘运动控制核心算法、关键模型，并且技术实现难度和工作量大（分值：</w:t>
            </w:r>
            <w:r>
              <w:rPr>
                <w:rFonts w:eastAsia="仿宋_GB2312"/>
              </w:rPr>
              <w:t>5</w:t>
            </w:r>
            <w:r>
              <w:rPr>
                <w:rFonts w:hint="eastAsia" w:eastAsia="仿宋_GB2312"/>
              </w:rPr>
              <w:t>分）</w:t>
            </w:r>
          </w:p>
          <w:p w14:paraId="0D3CA91D">
            <w:pPr>
              <w:rPr>
                <w:rFonts w:eastAsia="仿宋_GB2312"/>
              </w:rPr>
            </w:pPr>
            <w:r>
              <w:rPr>
                <w:rFonts w:eastAsia="仿宋_GB2312"/>
              </w:rPr>
              <w:t>3</w:t>
            </w:r>
            <w:r>
              <w:rPr>
                <w:rFonts w:hint="eastAsia" w:eastAsia="仿宋_GB2312"/>
              </w:rPr>
              <w:t>）性能提升与问题解决：相比现有常用的成熟方法，在底盘轨迹跟踪精度、最小转弯半径、侧向加速度、车身侧倾角、转向灵敏度、平顺性等关键运动性能指标上有显著、可证明的提升（分值：</w:t>
            </w:r>
            <w:r>
              <w:rPr>
                <w:rFonts w:eastAsia="仿宋_GB2312"/>
              </w:rPr>
              <w:t>5</w:t>
            </w:r>
            <w:r>
              <w:rPr>
                <w:rFonts w:hint="eastAsia" w:eastAsia="仿宋_GB2312"/>
              </w:rPr>
              <w:t>分）</w:t>
            </w:r>
          </w:p>
          <w:p w14:paraId="285184C4">
            <w:pPr>
              <w:rPr>
                <w:rFonts w:eastAsia="仿宋_GB2312"/>
              </w:rPr>
            </w:pPr>
            <w:r>
              <w:rPr>
                <w:rFonts w:eastAsia="仿宋_GB2312"/>
              </w:rPr>
              <w:t>4</w:t>
            </w:r>
            <w:r>
              <w:rPr>
                <w:rFonts w:hint="eastAsia" w:eastAsia="仿宋_GB2312"/>
              </w:rPr>
              <w:t>）完成度与验证：创新点在交付底盘、控制算法等作品中得到完整实现，并有充分的仿真与实验数据，进行对比验证（分值：</w:t>
            </w:r>
            <w:r>
              <w:rPr>
                <w:rFonts w:eastAsia="仿宋_GB2312"/>
              </w:rPr>
              <w:t>5</w:t>
            </w:r>
            <w:r>
              <w:rPr>
                <w:rFonts w:hint="eastAsia" w:eastAsia="仿宋_GB2312"/>
              </w:rPr>
              <w:t>分）</w:t>
            </w:r>
          </w:p>
        </w:tc>
      </w:tr>
      <w:tr w14:paraId="20B56B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4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4B49D97">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BA7E01A">
            <w:pPr>
              <w:rPr>
                <w:rFonts w:eastAsia="仿宋_GB2312"/>
                <w:bCs/>
                <w:spacing w:val="6"/>
                <w:szCs w:val="28"/>
              </w:rPr>
            </w:pPr>
            <w:r>
              <w:rPr>
                <w:rFonts w:hint="eastAsia" w:eastAsia="仿宋_GB2312"/>
              </w:rPr>
              <w:t>关于选题的其他提醒或相关要求说明。</w:t>
            </w:r>
          </w:p>
        </w:tc>
      </w:tr>
    </w:tbl>
    <w:p w14:paraId="1AE0F36A">
      <w:pPr>
        <w:tabs>
          <w:tab w:val="left" w:pos="8640"/>
        </w:tabs>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三、激励保障</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40AC86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414"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C179C58">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rPr>
              <w:t>保障</w:t>
            </w:r>
            <w:r>
              <w:rPr>
                <w:rFonts w:hint="eastAsia" w:ascii="楷体_GB2312" w:hAnsi="楷体_GB2312" w:eastAsia="楷体_GB2312" w:cs="楷体_GB2312"/>
                <w:b w:val="0"/>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B5C1A9F">
            <w:pPr>
              <w:rPr>
                <w:rFonts w:eastAsia="仿宋_GB2312"/>
                <w:lang w:val="en-US"/>
              </w:rPr>
            </w:pPr>
            <w:r>
              <w:rPr>
                <w:rFonts w:hint="eastAsia" w:eastAsia="仿宋_GB2312"/>
                <w:lang w:val="en-US"/>
              </w:rPr>
              <w:t>本单位可为参赛学生团队提供指导导师，介绍选题工程背景、技术细节，针对开发过程的疑问定期进行解答。</w:t>
            </w:r>
          </w:p>
          <w:p w14:paraId="07760707">
            <w:pPr>
              <w:rPr>
                <w:rFonts w:eastAsia="仿宋_GB2312"/>
                <w:lang w:val="en-US"/>
              </w:rPr>
            </w:pPr>
            <w:r>
              <w:rPr>
                <w:rFonts w:hint="eastAsia" w:eastAsia="仿宋_GB2312"/>
                <w:lang w:val="en-US"/>
              </w:rPr>
              <w:t>本单位在参赛团队完成相关审核程序后可提供参观应用场景的机会。</w:t>
            </w:r>
          </w:p>
          <w:p w14:paraId="1B4F5F3A">
            <w:pPr>
              <w:rPr>
                <w:rFonts w:eastAsia="仿宋_GB2312"/>
              </w:rPr>
            </w:pPr>
            <w:r>
              <w:rPr>
                <w:rFonts w:hint="eastAsia" w:eastAsia="仿宋_GB2312"/>
                <w:lang w:val="en-US"/>
              </w:rPr>
              <w:t>本单位可提供部分车型数据支撑团队研究，并根据实际情况提供成果产出</w:t>
            </w:r>
            <w:r>
              <w:rPr>
                <w:rFonts w:hint="eastAsia" w:eastAsia="仿宋_GB2312"/>
                <w:lang w:val="en-US" w:eastAsia="zh-CN"/>
              </w:rPr>
              <w:t>（</w:t>
            </w:r>
            <w:r>
              <w:rPr>
                <w:rFonts w:hint="eastAsia" w:eastAsia="仿宋_GB2312"/>
                <w:lang w:val="en-US"/>
              </w:rPr>
              <w:t>包含实物成果及非实物成果</w:t>
            </w:r>
            <w:r>
              <w:rPr>
                <w:rFonts w:hint="eastAsia" w:eastAsia="仿宋_GB2312"/>
                <w:lang w:val="en-US" w:eastAsia="zh-CN"/>
              </w:rPr>
              <w:t>）</w:t>
            </w:r>
            <w:r>
              <w:rPr>
                <w:rFonts w:hint="eastAsia" w:eastAsia="仿宋_GB2312"/>
                <w:lang w:val="en-US"/>
              </w:rPr>
              <w:t>方面的支持。</w:t>
            </w:r>
          </w:p>
        </w:tc>
      </w:tr>
      <w:tr w14:paraId="61342C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621"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78FE851">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9311785">
            <w:pPr>
              <w:rPr>
                <w:rFonts w:hint="eastAsia" w:eastAsia="仿宋_GB2312"/>
                <w:lang w:val="en-US"/>
              </w:rPr>
            </w:pPr>
            <w:r>
              <w:rPr>
                <w:rFonts w:hint="eastAsia" w:eastAsia="仿宋_GB2312"/>
                <w:lang w:val="en-US"/>
              </w:rPr>
              <w:t>一、奖项设置</w:t>
            </w:r>
          </w:p>
          <w:p w14:paraId="167FA634">
            <w:pPr>
              <w:rPr>
                <w:rFonts w:hint="eastAsia" w:eastAsia="仿宋_GB2312"/>
                <w:lang w:val="en-US"/>
              </w:rPr>
            </w:pPr>
            <w:r>
              <w:rPr>
                <w:rFonts w:hint="eastAsia" w:eastAsia="仿宋_GB2312"/>
                <w:lang w:val="en-US" w:eastAsia="zh-CN"/>
              </w:rPr>
              <w:t>原则上设“擂主”团队1个，</w:t>
            </w:r>
            <w:r>
              <w:rPr>
                <w:rFonts w:hint="eastAsia" w:eastAsia="仿宋_GB2312"/>
                <w:lang w:val="en-US"/>
              </w:rPr>
              <w:t>根据实际情况评出相应的特等奖、一等奖、二等奖、三等奖项目若干。</w:t>
            </w:r>
          </w:p>
          <w:p w14:paraId="3429B7E3">
            <w:pPr>
              <w:rPr>
                <w:rFonts w:hint="eastAsia" w:eastAsia="仿宋_GB2312"/>
                <w:lang w:val="en-US"/>
              </w:rPr>
            </w:pPr>
            <w:r>
              <w:rPr>
                <w:rFonts w:hint="eastAsia" w:eastAsia="仿宋_GB2312"/>
                <w:lang w:val="en-US"/>
              </w:rPr>
              <w:t>二、激励措施</w:t>
            </w:r>
          </w:p>
          <w:p w14:paraId="2428F467">
            <w:pPr>
              <w:rPr>
                <w:rFonts w:hint="eastAsia" w:eastAsia="仿宋_GB2312"/>
                <w:lang w:val="en-US"/>
              </w:rPr>
            </w:pPr>
            <w:r>
              <w:rPr>
                <w:rFonts w:hint="eastAsia" w:eastAsia="仿宋_GB2312"/>
                <w:lang w:val="en-US"/>
              </w:rPr>
              <w:t>1.揭榜本选题并获得名次</w:t>
            </w:r>
            <w:r>
              <w:rPr>
                <w:rFonts w:hint="eastAsia" w:eastAsia="仿宋_GB2312"/>
                <w:lang w:val="en-US" w:eastAsia="zh-CN"/>
              </w:rPr>
              <w:t>（奖项）</w:t>
            </w:r>
            <w:r>
              <w:rPr>
                <w:rFonts w:hint="eastAsia" w:eastAsia="仿宋_GB2312"/>
                <w:lang w:val="en-US"/>
              </w:rPr>
              <w:t>的团队有机会优先取得到企业实习的机会。</w:t>
            </w:r>
          </w:p>
          <w:p w14:paraId="33A25228">
            <w:pPr>
              <w:rPr>
                <w:rFonts w:eastAsia="仿宋_GB2312"/>
                <w:lang w:val="en-US"/>
              </w:rPr>
            </w:pPr>
            <w:r>
              <w:rPr>
                <w:rFonts w:hint="eastAsia" w:eastAsia="仿宋_GB2312"/>
                <w:lang w:val="en-US"/>
              </w:rPr>
              <w:t>2.揭榜本选题并获得特等奖的团队可获得企业面试直通卡，直接进入企业次年招聘面试。</w:t>
            </w:r>
          </w:p>
        </w:tc>
      </w:tr>
    </w:tbl>
    <w:p w14:paraId="584D1B5D">
      <w:pPr>
        <w:rPr>
          <w:rFonts w:hint="eastAsia" w:eastAsia="方正黑体简体"/>
          <w:sz w:val="28"/>
          <w:szCs w:val="28"/>
          <w:lang w:val="en-US"/>
        </w:rPr>
      </w:pPr>
    </w:p>
    <w:p w14:paraId="7C79470A">
      <w:pPr>
        <w:rPr>
          <w:rFonts w:hint="eastAsia" w:eastAsia="方正黑体简体"/>
          <w:sz w:val="28"/>
          <w:szCs w:val="28"/>
          <w:lang w:val="en-US"/>
        </w:rPr>
      </w:pPr>
    </w:p>
    <w:p w14:paraId="20E23856">
      <w:pPr>
        <w:rPr>
          <w:rFonts w:hint="eastAsia" w:eastAsia="方正黑体简体"/>
          <w:sz w:val="28"/>
          <w:szCs w:val="28"/>
          <w:lang w:val="en-US"/>
        </w:rPr>
      </w:pPr>
    </w:p>
    <w:p w14:paraId="565A7FA8">
      <w:pPr>
        <w:rPr>
          <w:rFonts w:hint="eastAsia" w:eastAsia="方正黑体简体"/>
          <w:sz w:val="28"/>
          <w:szCs w:val="28"/>
          <w:lang w:val="en-US"/>
        </w:rPr>
      </w:pPr>
    </w:p>
    <w:p w14:paraId="42E8D9D5">
      <w:pPr>
        <w:rPr>
          <w:rFonts w:eastAsia="方正黑体简体"/>
          <w:sz w:val="28"/>
          <w:szCs w:val="28"/>
          <w:lang w:val="en-US"/>
        </w:rPr>
      </w:pPr>
      <w:r>
        <w:rPr>
          <w:rFonts w:hint="eastAsia" w:eastAsia="方正黑体简体"/>
          <w:sz w:val="28"/>
          <w:szCs w:val="28"/>
          <w:lang w:val="en-US"/>
        </w:rPr>
        <w:t>四、选题意义</w:t>
      </w:r>
    </w:p>
    <w:tbl>
      <w:tblPr>
        <w:tblStyle w:val="1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607BA6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3DB68E95">
            <w:pPr>
              <w:jc w:val="center"/>
              <w:rPr>
                <w:rFonts w:eastAsia="楷体_GB2312"/>
                <w:sz w:val="28"/>
                <w:szCs w:val="28"/>
              </w:rPr>
            </w:pPr>
            <w:r>
              <w:rPr>
                <w:rFonts w:hint="eastAsia" w:eastAsia="楷体_GB2312"/>
                <w:sz w:val="28"/>
                <w:szCs w:val="28"/>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055BC0">
            <w:pPr>
              <w:rPr>
                <w:rFonts w:eastAsia="仿宋_GB2312"/>
              </w:rPr>
            </w:pPr>
            <w:r>
              <w:rPr>
                <w:rFonts w:hint="eastAsia" w:eastAsia="仿宋_GB2312"/>
              </w:rPr>
              <w:t>本选题聚焦新型模块化线控底盘架构设计与应用，具有以下核心技术意义：</w:t>
            </w:r>
          </w:p>
          <w:p w14:paraId="509D9796">
            <w:pPr>
              <w:rPr>
                <w:rFonts w:eastAsia="仿宋_GB2312"/>
              </w:rPr>
            </w:pPr>
            <w:r>
              <w:rPr>
                <w:rFonts w:eastAsia="仿宋_GB2312"/>
              </w:rPr>
              <w:t>1</w:t>
            </w:r>
            <w:r>
              <w:rPr>
                <w:rFonts w:hint="eastAsia" w:eastAsia="仿宋_GB2312"/>
              </w:rPr>
              <w:t>、突破传统底盘技术瓶颈，传统机械底盘受限于机械耦合与空间冗余，难以满足新能源汽车对轻量化、智能化的需求。本选题期望通过机构拓扑优化与模块化集成设计，重构底盘布局逻辑，推动底盘架构向高度模块化方向演进，巩固我国新能源汽车产业的领跑优势。</w:t>
            </w:r>
          </w:p>
          <w:p w14:paraId="48CD303B">
            <w:pPr>
              <w:rPr>
                <w:rFonts w:eastAsia="仿宋_GB2312"/>
              </w:rPr>
            </w:pPr>
            <w:r>
              <w:rPr>
                <w:rFonts w:eastAsia="仿宋_GB2312"/>
              </w:rPr>
              <w:t>2</w:t>
            </w:r>
            <w:r>
              <w:rPr>
                <w:rFonts w:hint="eastAsia" w:eastAsia="仿宋_GB2312"/>
              </w:rPr>
              <w:t>、通过模块化解耦设计，攻克执行系统功能耦合问题，提升转向、轮胎运动独立性，实现线控系统国产替代，降低对国外线控技术的依赖，提升产业链自主可控能力。</w:t>
            </w:r>
          </w:p>
          <w:p w14:paraId="7C67E661">
            <w:pPr>
              <w:rPr>
                <w:rFonts w:eastAsia="仿宋_GB2312"/>
              </w:rPr>
            </w:pPr>
            <w:r>
              <w:rPr>
                <w:rFonts w:eastAsia="仿宋_GB2312"/>
              </w:rPr>
              <w:t>3</w:t>
            </w:r>
            <w:r>
              <w:rPr>
                <w:rFonts w:hint="eastAsia" w:eastAsia="仿宋_GB2312"/>
              </w:rPr>
              <w:t>、针对底盘运动功能独立、自由度大等技术特点，本选题期望通过开发状态估计算法、轨迹规划算法、动态控制方法等，实现底盘运动性能提升与多模态精准控制（如原地转向、蟹行等），扩大我国在高自由度底盘智能控制领域的技术优势。</w:t>
            </w:r>
          </w:p>
        </w:tc>
      </w:tr>
      <w:tr w14:paraId="15A7D3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1D2D3B">
            <w:pPr>
              <w:jc w:val="center"/>
              <w:rPr>
                <w:rFonts w:eastAsia="楷体_GB2312"/>
                <w:sz w:val="28"/>
                <w:szCs w:val="28"/>
              </w:rPr>
            </w:pPr>
            <w:r>
              <w:rPr>
                <w:rFonts w:hint="eastAsia" w:eastAsia="楷体_GB2312"/>
                <w:sz w:val="28"/>
                <w:szCs w:val="28"/>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7DC348">
            <w:pPr>
              <w:rPr>
                <w:rFonts w:eastAsia="仿宋_GB2312"/>
              </w:rPr>
            </w:pPr>
            <w:r>
              <w:rPr>
                <w:rFonts w:hint="eastAsia" w:eastAsia="仿宋_GB2312"/>
              </w:rPr>
              <w:t>本选题聚焦新型模块化线控底盘架构设计与应用，具有以下经济社会效益：</w:t>
            </w:r>
          </w:p>
          <w:p w14:paraId="67B95202">
            <w:pPr>
              <w:rPr>
                <w:rFonts w:eastAsia="仿宋_GB2312"/>
              </w:rPr>
            </w:pPr>
            <w:r>
              <w:rPr>
                <w:rFonts w:eastAsia="仿宋_GB2312"/>
              </w:rPr>
              <w:t>1</w:t>
            </w:r>
            <w:r>
              <w:rPr>
                <w:rFonts w:hint="eastAsia" w:eastAsia="仿宋_GB2312"/>
              </w:rPr>
              <w:t>、通过线控系统国产化替代，打破国外技术垄断，降低核心零部件采购成本</w:t>
            </w:r>
            <w:r>
              <w:rPr>
                <w:rFonts w:eastAsia="仿宋_GB2312"/>
              </w:rPr>
              <w:t>30%-40%</w:t>
            </w:r>
            <w:r>
              <w:rPr>
                <w:rFonts w:hint="eastAsia" w:eastAsia="仿宋_GB2312"/>
              </w:rPr>
              <w:t>，模块化底盘平台可推动开发周期缩短至</w:t>
            </w:r>
            <w:r>
              <w:rPr>
                <w:rFonts w:eastAsia="仿宋_GB2312"/>
              </w:rPr>
              <w:t>12</w:t>
            </w:r>
            <w:r>
              <w:rPr>
                <w:rFonts w:hint="eastAsia" w:eastAsia="仿宋_GB2312"/>
              </w:rPr>
              <w:t>个月内，助力车企快速响应市场需求，加快</w:t>
            </w:r>
            <w:r>
              <w:rPr>
                <w:rFonts w:eastAsia="仿宋_GB2312"/>
              </w:rPr>
              <w:t>L3</w:t>
            </w:r>
            <w:r>
              <w:rPr>
                <w:rFonts w:hint="eastAsia" w:eastAsia="仿宋_GB2312"/>
              </w:rPr>
              <w:t>级别自动驾驶落地。</w:t>
            </w:r>
          </w:p>
          <w:p w14:paraId="4B8C010D">
            <w:pPr>
              <w:rPr>
                <w:rFonts w:eastAsia="仿宋_GB2312"/>
              </w:rPr>
            </w:pPr>
            <w:r>
              <w:rPr>
                <w:rFonts w:eastAsia="仿宋_GB2312"/>
              </w:rPr>
              <w:t>2</w:t>
            </w:r>
            <w:r>
              <w:rPr>
                <w:rFonts w:hint="eastAsia" w:eastAsia="仿宋_GB2312"/>
              </w:rPr>
              <w:t>、关键技术突破推动国内线控底盘市场规模突破</w:t>
            </w:r>
            <w:r>
              <w:rPr>
                <w:rFonts w:eastAsia="仿宋_GB2312"/>
              </w:rPr>
              <w:t>600</w:t>
            </w:r>
            <w:r>
              <w:rPr>
                <w:rFonts w:hint="eastAsia" w:eastAsia="仿宋_GB2312"/>
              </w:rPr>
              <w:t>亿元，自主滑板底盘、线控底盘技术标准输出至东南亚、中东等海外市场，带动底盘模块、域控制器等产品出口，助力中国汽车产业技术出海。</w:t>
            </w:r>
          </w:p>
          <w:p w14:paraId="55111FE5">
            <w:pPr>
              <w:rPr>
                <w:rFonts w:eastAsia="仿宋_GB2312"/>
              </w:rPr>
            </w:pPr>
            <w:r>
              <w:rPr>
                <w:rFonts w:eastAsia="仿宋_GB2312"/>
              </w:rPr>
              <w:t>3</w:t>
            </w:r>
            <w:r>
              <w:rPr>
                <w:rFonts w:hint="eastAsia" w:eastAsia="仿宋_GB2312"/>
              </w:rPr>
              <w:t>、轻量化与能效优化技术使单车续航提升可降低全生命周期碳排放，推动新能源汽车年渗透率突破</w:t>
            </w:r>
            <w:r>
              <w:rPr>
                <w:rFonts w:eastAsia="仿宋_GB2312"/>
              </w:rPr>
              <w:t>60%</w:t>
            </w:r>
            <w:r>
              <w:rPr>
                <w:rFonts w:hint="eastAsia" w:eastAsia="仿宋_GB2312"/>
              </w:rPr>
              <w:t>。</w:t>
            </w:r>
          </w:p>
          <w:p w14:paraId="0D017BAC">
            <w:pPr>
              <w:rPr>
                <w:rFonts w:eastAsia="仿宋_GB2312"/>
              </w:rPr>
            </w:pPr>
            <w:r>
              <w:rPr>
                <w:rFonts w:eastAsia="仿宋_GB2312"/>
              </w:rPr>
              <w:t>4</w:t>
            </w:r>
            <w:r>
              <w:rPr>
                <w:rFonts w:hint="eastAsia" w:eastAsia="仿宋_GB2312"/>
              </w:rPr>
              <w:t>、智能运动控制技术（如爆胎稳控、低附路面防侧滑）可降低交通事故率，模块化底盘适配无障碍车辆、医疗救护车等特种场景，提升公共服务水平。</w:t>
            </w:r>
          </w:p>
          <w:p w14:paraId="76BAD3F2">
            <w:pPr>
              <w:rPr>
                <w:rFonts w:eastAsia="仿宋_GB2312"/>
              </w:rPr>
            </w:pPr>
            <w:r>
              <w:rPr>
                <w:rFonts w:eastAsia="仿宋_GB2312"/>
              </w:rPr>
              <w:t>5</w:t>
            </w:r>
            <w:r>
              <w:rPr>
                <w:rFonts w:hint="eastAsia" w:eastAsia="仿宋_GB2312"/>
              </w:rPr>
              <w:t>、推动智能底盘领域形成跨学科人才梯队，新增高端研发岗位，带动充换电、智能运维等下游服务业就业增长。</w:t>
            </w:r>
          </w:p>
        </w:tc>
      </w:tr>
    </w:tbl>
    <w:p w14:paraId="0980B919">
      <w:pPr>
        <w:rPr>
          <w:rFonts w:hint="eastAsia" w:eastAsia="楷体_GB2312"/>
        </w:rPr>
      </w:pPr>
      <w:r>
        <w:rPr>
          <w:rFonts w:hint="eastAsia" w:eastAsia="楷体_GB2312"/>
        </w:rPr>
        <w:br w:type="page"/>
      </w:r>
    </w:p>
    <w:p w14:paraId="365136BC">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“青智未来”新质生产力</w:t>
      </w:r>
      <w:r>
        <w:rPr>
          <w:rFonts w:hint="default" w:ascii="Times New Roman" w:hAnsi="Times New Roman" w:eastAsia="方正小标宋简体" w:cs="Times New Roman"/>
          <w:b w:val="0"/>
          <w:bCs/>
          <w:kern w:val="2"/>
          <w:sz w:val="44"/>
          <w:szCs w:val="32"/>
          <w:highlight w:val="none"/>
          <w:lang w:val="en-US" w:eastAsia="zh-CN"/>
        </w:rPr>
        <w:t>专项赛</w:t>
      </w:r>
    </w:p>
    <w:p w14:paraId="50628BE4">
      <w:pPr>
        <w:keepNext w:val="0"/>
        <w:keepLines w:val="0"/>
        <w:pageBreakBefore w:val="0"/>
        <w:widowControl w:val="0"/>
        <w:tabs>
          <w:tab w:val="left" w:pos="8640"/>
        </w:tabs>
        <w:kinsoku/>
        <w:wordWrap w:val="0"/>
        <w:topLinePunct w:val="0"/>
        <w:autoSpaceDE/>
        <w:autoSpaceDN/>
        <w:bidi w:val="0"/>
        <w:adjustRightInd w:val="0"/>
        <w:snapToGrid w:val="0"/>
        <w:spacing w:line="560" w:lineRule="exact"/>
        <w:jc w:val="center"/>
        <w:rPr>
          <w:rFonts w:hint="default" w:ascii="Times New Roman" w:hAnsi="Times New Roman" w:eastAsia="方正小标宋简体" w:cs="Times New Roman"/>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—0</w:t>
      </w:r>
      <w:r>
        <w:rPr>
          <w:rFonts w:hint="eastAsia" w:eastAsia="方正小标宋简体" w:cs="方正小标宋简体"/>
          <w:b w:val="0"/>
          <w:bCs/>
          <w:kern w:val="2"/>
          <w:sz w:val="44"/>
          <w:szCs w:val="32"/>
          <w:highlight w:val="none"/>
          <w:lang w:val="en-US" w:eastAsia="zh-CN"/>
        </w:rPr>
        <w:t>5</w:t>
      </w:r>
    </w:p>
    <w:p w14:paraId="6734BB4C">
      <w:pPr>
        <w:keepNext w:val="0"/>
        <w:keepLines w:val="0"/>
        <w:pageBreakBefore w:val="0"/>
        <w:widowControl w:val="0"/>
        <w:tabs>
          <w:tab w:val="left" w:pos="8640"/>
        </w:tabs>
        <w:kinsoku/>
        <w:wordWrap w:val="0"/>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b w:val="0"/>
          <w:bCs/>
          <w:kern w:val="2"/>
          <w:sz w:val="32"/>
          <w:szCs w:val="22"/>
          <w:highlight w:val="none"/>
          <w:lang w:val="en-US" w:eastAsia="zh-CN"/>
        </w:rPr>
      </w:pPr>
    </w:p>
    <w:p w14:paraId="777E26AC">
      <w:pPr>
        <w:tabs>
          <w:tab w:val="left" w:pos="8640"/>
        </w:tabs>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一、单位信息</w:t>
      </w:r>
    </w:p>
    <w:tbl>
      <w:tblPr>
        <w:tblStyle w:val="27"/>
        <w:tblW w:w="8569" w:type="dxa"/>
        <w:tblInd w:w="1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63"/>
        <w:gridCol w:w="3066"/>
        <w:gridCol w:w="1049"/>
        <w:gridCol w:w="2791"/>
      </w:tblGrid>
      <w:tr w14:paraId="057A7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trPr>
        <w:tc>
          <w:tcPr>
            <w:tcW w:w="1663" w:type="dxa"/>
            <w:vAlign w:val="center"/>
          </w:tcPr>
          <w:p w14:paraId="483C70F5">
            <w:pPr>
              <w:adjustRightInd w:val="0"/>
              <w:snapToGrid w:val="0"/>
              <w:spacing w:line="560" w:lineRule="exact"/>
              <w:ind w:left="0" w:leftChars="0" w:right="0" w:rightChars="0" w:firstLine="0" w:firstLineChars="0"/>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单位名称</w:t>
            </w:r>
          </w:p>
        </w:tc>
        <w:tc>
          <w:tcPr>
            <w:tcW w:w="6906" w:type="dxa"/>
            <w:gridSpan w:val="3"/>
            <w:vAlign w:val="center"/>
          </w:tcPr>
          <w:p w14:paraId="3AD52291">
            <w:pPr>
              <w:widowControl w:val="0"/>
              <w:adjustRightInd w:val="0"/>
              <w:snapToGrid w:val="0"/>
              <w:ind w:left="0" w:leftChars="0" w:right="0" w:rightChars="0" w:firstLine="0" w:firstLineChars="0"/>
              <w:jc w:val="center"/>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北京汽车研究总院有限公司</w:t>
            </w:r>
          </w:p>
        </w:tc>
      </w:tr>
      <w:tr w14:paraId="5E9798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1663" w:type="dxa"/>
            <w:vAlign w:val="center"/>
          </w:tcPr>
          <w:p w14:paraId="1C8CF370">
            <w:pPr>
              <w:adjustRightInd w:val="0"/>
              <w:snapToGrid w:val="0"/>
              <w:spacing w:line="560" w:lineRule="exact"/>
              <w:ind w:left="0" w:leftChars="0" w:right="0" w:rightChars="0" w:firstLine="0" w:firstLineChars="0"/>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单位类型</w:t>
            </w:r>
          </w:p>
        </w:tc>
        <w:tc>
          <w:tcPr>
            <w:tcW w:w="6906" w:type="dxa"/>
            <w:gridSpan w:val="3"/>
            <w:vAlign w:val="center"/>
          </w:tcPr>
          <w:p w14:paraId="32A19AF9">
            <w:pPr>
              <w:widowControl w:val="0"/>
              <w:adjustRightInd w:val="0"/>
              <w:snapToGrid w:val="0"/>
              <w:ind w:left="0" w:leftChars="0" w:right="0" w:rightChars="0" w:firstLine="0" w:firstLineChars="0"/>
              <w:jc w:val="center"/>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国有企业</w:t>
            </w:r>
          </w:p>
        </w:tc>
      </w:tr>
      <w:tr w14:paraId="7AA6C9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663" w:type="dxa"/>
            <w:vAlign w:val="center"/>
          </w:tcPr>
          <w:p w14:paraId="6E03C3DA">
            <w:pPr>
              <w:adjustRightInd w:val="0"/>
              <w:snapToGrid w:val="0"/>
              <w:spacing w:line="560" w:lineRule="exact"/>
              <w:ind w:left="0" w:leftChars="0" w:right="0" w:rightChars="0" w:firstLine="0" w:firstLineChars="0"/>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地址</w:t>
            </w:r>
          </w:p>
        </w:tc>
        <w:tc>
          <w:tcPr>
            <w:tcW w:w="6906" w:type="dxa"/>
            <w:gridSpan w:val="3"/>
            <w:vAlign w:val="center"/>
          </w:tcPr>
          <w:p w14:paraId="150732D7">
            <w:pPr>
              <w:widowControl w:val="0"/>
              <w:adjustRightInd w:val="0"/>
              <w:snapToGrid w:val="0"/>
              <w:ind w:left="0" w:leftChars="0" w:right="0" w:rightChars="0" w:firstLine="0" w:firstLineChars="0"/>
              <w:jc w:val="center"/>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北京市顺义区仁和镇双河大街99号院1幢</w:t>
            </w:r>
          </w:p>
        </w:tc>
      </w:tr>
      <w:tr w14:paraId="5A6916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6" w:hRule="atLeast"/>
        </w:trPr>
        <w:tc>
          <w:tcPr>
            <w:tcW w:w="1663" w:type="dxa"/>
            <w:vAlign w:val="center"/>
          </w:tcPr>
          <w:p w14:paraId="5FD29A4D">
            <w:pPr>
              <w:adjustRightInd w:val="0"/>
              <w:snapToGrid w:val="0"/>
              <w:spacing w:line="560" w:lineRule="exact"/>
              <w:ind w:left="0" w:leftChars="0" w:right="0" w:rightChars="0" w:firstLine="0" w:firstLineChars="0"/>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单位简介</w:t>
            </w:r>
          </w:p>
        </w:tc>
        <w:tc>
          <w:tcPr>
            <w:tcW w:w="6906" w:type="dxa"/>
            <w:gridSpan w:val="3"/>
            <w:vAlign w:val="center"/>
          </w:tcPr>
          <w:p w14:paraId="33CB1D72">
            <w:pPr>
              <w:widowControl w:val="0"/>
              <w:adjustRightInd w:val="0"/>
              <w:snapToGrid w:val="0"/>
              <w:ind w:left="0" w:leftChars="0" w:right="0" w:rightChars="0" w:firstLine="0" w:firstLineChars="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北京汽车研究总院有限公司是北京汽车集团有限公司下属核心研发机构，聚焦整车技术、智能网联、新能源及前沿技术研究，承担集团多项关键技术研发任务。公司围绕智能网联汽车、车路协同、自动驾驶相关技术开展系统性研究，具备较为完善的技术研发体系、实验条件和产业应用场景，在行业内具有一定技术积累和示范应用基础。</w:t>
            </w:r>
          </w:p>
        </w:tc>
      </w:tr>
      <w:tr w14:paraId="1D70B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663" w:type="dxa"/>
            <w:vAlign w:val="center"/>
          </w:tcPr>
          <w:p w14:paraId="2ACBDDFE">
            <w:pPr>
              <w:adjustRightInd w:val="0"/>
              <w:snapToGrid w:val="0"/>
              <w:spacing w:line="560" w:lineRule="exact"/>
              <w:ind w:left="0" w:leftChars="0" w:right="0" w:rightChars="0" w:firstLine="0" w:firstLineChars="0"/>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联系人</w:t>
            </w:r>
          </w:p>
        </w:tc>
        <w:tc>
          <w:tcPr>
            <w:tcW w:w="3066" w:type="dxa"/>
            <w:vAlign w:val="center"/>
          </w:tcPr>
          <w:p w14:paraId="021A3E72">
            <w:pPr>
              <w:widowControl w:val="0"/>
              <w:adjustRightInd w:val="0"/>
              <w:snapToGrid w:val="0"/>
              <w:ind w:left="0" w:leftChars="0" w:right="0" w:rightChars="0" w:firstLine="0" w:firstLineChars="0"/>
              <w:jc w:val="center"/>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张一豪</w:t>
            </w:r>
          </w:p>
        </w:tc>
        <w:tc>
          <w:tcPr>
            <w:tcW w:w="1049" w:type="dxa"/>
            <w:vAlign w:val="center"/>
          </w:tcPr>
          <w:p w14:paraId="35965F78">
            <w:pPr>
              <w:adjustRightInd w:val="0"/>
              <w:snapToGrid w:val="0"/>
              <w:spacing w:line="560" w:lineRule="exact"/>
              <w:ind w:left="0" w:leftChars="0" w:right="0" w:rightChars="0" w:firstLine="0" w:firstLineChars="0"/>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职务</w:t>
            </w:r>
          </w:p>
        </w:tc>
        <w:tc>
          <w:tcPr>
            <w:tcW w:w="2791" w:type="dxa"/>
            <w:vAlign w:val="center"/>
          </w:tcPr>
          <w:p w14:paraId="5F6D3DBB">
            <w:pPr>
              <w:widowControl w:val="0"/>
              <w:adjustRightInd w:val="0"/>
              <w:snapToGrid w:val="0"/>
              <w:ind w:left="0" w:leftChars="0" w:right="0" w:rightChars="0" w:firstLine="0" w:firstLineChars="0"/>
              <w:jc w:val="center"/>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工程师</w:t>
            </w:r>
          </w:p>
        </w:tc>
      </w:tr>
      <w:tr w14:paraId="5622B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3" w:hRule="atLeast"/>
        </w:trPr>
        <w:tc>
          <w:tcPr>
            <w:tcW w:w="1663" w:type="dxa"/>
            <w:vAlign w:val="center"/>
          </w:tcPr>
          <w:p w14:paraId="14EC5A81">
            <w:pPr>
              <w:adjustRightInd w:val="0"/>
              <w:snapToGrid w:val="0"/>
              <w:spacing w:line="560" w:lineRule="exact"/>
              <w:ind w:left="0" w:leftChars="0" w:right="0" w:rightChars="0" w:firstLine="0" w:firstLineChars="0"/>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联系方式</w:t>
            </w:r>
          </w:p>
        </w:tc>
        <w:tc>
          <w:tcPr>
            <w:tcW w:w="3066" w:type="dxa"/>
            <w:vAlign w:val="center"/>
          </w:tcPr>
          <w:p w14:paraId="77DED2EA">
            <w:pPr>
              <w:widowControl w:val="0"/>
              <w:adjustRightInd w:val="0"/>
              <w:snapToGrid w:val="0"/>
              <w:ind w:left="0" w:leftChars="0" w:right="0" w:rightChars="0" w:firstLine="0" w:firstLineChars="0"/>
              <w:jc w:val="center"/>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17634300497</w:t>
            </w:r>
          </w:p>
        </w:tc>
        <w:tc>
          <w:tcPr>
            <w:tcW w:w="1049" w:type="dxa"/>
            <w:vAlign w:val="center"/>
          </w:tcPr>
          <w:p w14:paraId="42E98603">
            <w:pPr>
              <w:adjustRightInd w:val="0"/>
              <w:snapToGrid w:val="0"/>
              <w:spacing w:line="560" w:lineRule="exact"/>
              <w:ind w:left="0" w:leftChars="0" w:right="0" w:rightChars="0" w:firstLine="0" w:firstLineChars="0"/>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微信</w:t>
            </w:r>
          </w:p>
        </w:tc>
        <w:tc>
          <w:tcPr>
            <w:tcW w:w="2791" w:type="dxa"/>
            <w:vAlign w:val="center"/>
          </w:tcPr>
          <w:p w14:paraId="09E0FBF7">
            <w:pPr>
              <w:widowControl w:val="0"/>
              <w:adjustRightInd w:val="0"/>
              <w:snapToGrid w:val="0"/>
              <w:ind w:left="0" w:leftChars="0" w:right="0" w:rightChars="0" w:firstLine="0" w:firstLineChars="0"/>
              <w:jc w:val="center"/>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17634300497</w:t>
            </w:r>
          </w:p>
        </w:tc>
      </w:tr>
    </w:tbl>
    <w:p w14:paraId="6E7F3872">
      <w:pPr>
        <w:tabs>
          <w:tab w:val="left" w:pos="8640"/>
        </w:tabs>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二、选题说明</w:t>
      </w:r>
    </w:p>
    <w:tbl>
      <w:tblPr>
        <w:tblStyle w:val="27"/>
        <w:tblW w:w="8513" w:type="dxa"/>
        <w:tblInd w:w="17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4"/>
        <w:gridCol w:w="1729"/>
        <w:gridCol w:w="83"/>
        <w:gridCol w:w="6544"/>
        <w:gridCol w:w="63"/>
      </w:tblGrid>
      <w:tr w14:paraId="63887D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3" w:type="dxa"/>
          <w:trHeight w:val="1101" w:hRule="atLeast"/>
        </w:trPr>
        <w:tc>
          <w:tcPr>
            <w:tcW w:w="1823" w:type="dxa"/>
            <w:gridSpan w:val="2"/>
            <w:vAlign w:val="center"/>
          </w:tcPr>
          <w:p w14:paraId="65D4BBB1">
            <w:pPr>
              <w:adjustRightInd w:val="0"/>
              <w:snapToGrid w:val="0"/>
              <w:spacing w:line="560" w:lineRule="exact"/>
              <w:ind w:left="0" w:leftChars="0" w:right="0" w:rightChars="0" w:firstLine="0" w:firstLineChars="0"/>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选题题目</w:t>
            </w:r>
          </w:p>
        </w:tc>
        <w:tc>
          <w:tcPr>
            <w:tcW w:w="6627" w:type="dxa"/>
            <w:gridSpan w:val="2"/>
            <w:vAlign w:val="center"/>
          </w:tcPr>
          <w:p w14:paraId="290E707F">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面向城市复杂交通场景的智能网联汽车应用创新方案设计</w:t>
            </w:r>
          </w:p>
        </w:tc>
      </w:tr>
      <w:tr w14:paraId="3161C1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63" w:type="dxa"/>
          <w:trHeight w:val="1988" w:hRule="atLeast"/>
        </w:trPr>
        <w:tc>
          <w:tcPr>
            <w:tcW w:w="1823" w:type="dxa"/>
            <w:gridSpan w:val="2"/>
            <w:vAlign w:val="center"/>
          </w:tcPr>
          <w:p w14:paraId="7C7E26D1">
            <w:pPr>
              <w:adjustRightInd w:val="0"/>
              <w:snapToGrid w:val="0"/>
              <w:spacing w:line="560" w:lineRule="exact"/>
              <w:ind w:left="0" w:leftChars="0" w:right="0" w:rightChars="0" w:firstLine="0" w:firstLineChars="0"/>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行业领域</w:t>
            </w:r>
          </w:p>
        </w:tc>
        <w:tc>
          <w:tcPr>
            <w:tcW w:w="6627" w:type="dxa"/>
            <w:gridSpan w:val="2"/>
            <w:vAlign w:val="center"/>
          </w:tcPr>
          <w:p w14:paraId="7E088A97">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新一代信息技术、人工智能、智能网联汽车、车路协同、高端装备</w:t>
            </w:r>
          </w:p>
        </w:tc>
      </w:tr>
      <w:tr w14:paraId="2D763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94" w:type="dxa"/>
          <w:trHeight w:val="5730" w:hRule="atLeast"/>
        </w:trPr>
        <w:tc>
          <w:tcPr>
            <w:tcW w:w="1812" w:type="dxa"/>
            <w:gridSpan w:val="2"/>
            <w:vAlign w:val="center"/>
          </w:tcPr>
          <w:p w14:paraId="04A6DBCB">
            <w:pPr>
              <w:adjustRightInd w:val="0"/>
              <w:snapToGrid w:val="0"/>
              <w:spacing w:line="560" w:lineRule="exact"/>
              <w:ind w:left="0" w:leftChars="0" w:right="0" w:rightChars="0" w:firstLine="0" w:firstLineChars="0"/>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题目介绍</w:t>
            </w:r>
          </w:p>
        </w:tc>
        <w:tc>
          <w:tcPr>
            <w:tcW w:w="6607" w:type="dxa"/>
            <w:gridSpan w:val="2"/>
            <w:vAlign w:val="center"/>
          </w:tcPr>
          <w:p w14:paraId="0950A2D6">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随着智能网联汽车和智慧城市建设的持续推进，车辆、道路、云端协同发展的新型交通体系正在加速形成。当前，在城市复杂交通场景中，智能网联相关技术在感知协同、信息融合、应用落地等方面仍存在创新空间，亟需结合真实交通需求探索具有实践价值的创新应用模式。</w:t>
            </w:r>
          </w:p>
          <w:p w14:paraId="798DFFBE">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本选题围绕城市道路、园区、示范区等典型交通场景，鼓励大学生团队基于智能网联汽车、车路协同或相关信息技术，提出具有创新性和可行性的应用方案或创业计划。参赛团队可从安全出行、交通效率提升、绿色低碳、智慧管理、用户服务等角度切入，设计产品形态、系统方案或服务模式，形成具备落地潜力的创新构想。</w:t>
            </w:r>
          </w:p>
          <w:p w14:paraId="7F22E409">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选题强调问题导向和应用价值，重点考察方案对真实交通场景的适配性、创新性及发展潜力，避免对成熟商业产品的简单复现，鼓励学生在合理技术假设基础上进行系统性设计和探索。</w:t>
            </w:r>
          </w:p>
        </w:tc>
      </w:tr>
      <w:tr w14:paraId="4AB3A8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94" w:type="dxa"/>
          <w:trHeight w:val="2308" w:hRule="atLeast"/>
        </w:trPr>
        <w:tc>
          <w:tcPr>
            <w:tcW w:w="1812" w:type="dxa"/>
            <w:gridSpan w:val="2"/>
            <w:vAlign w:val="center"/>
          </w:tcPr>
          <w:p w14:paraId="60C65457">
            <w:pPr>
              <w:adjustRightInd w:val="0"/>
              <w:snapToGrid w:val="0"/>
              <w:spacing w:line="560" w:lineRule="exact"/>
              <w:ind w:left="0" w:leftChars="0" w:right="0" w:rightChars="0" w:firstLine="0" w:firstLineChars="0"/>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作品要求</w:t>
            </w:r>
          </w:p>
        </w:tc>
        <w:tc>
          <w:tcPr>
            <w:tcW w:w="6607" w:type="dxa"/>
            <w:gridSpan w:val="2"/>
            <w:vAlign w:val="center"/>
          </w:tcPr>
          <w:p w14:paraId="776EB6A3">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1.作品形式为创业计划书或创新应用方案，内容应包含但不限于：背景与问题分析、技术或方案总体设计、应用场景说明、创新点与可行性分析、实施路径或发展规划。</w:t>
            </w:r>
          </w:p>
          <w:p w14:paraId="0AB47151">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2.作品须为原创，不得侵犯他人知识产权</w:t>
            </w:r>
          </w:p>
          <w:p w14:paraId="4B4C4919">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3.提交形式以书面方案为主，可配合示意图、流程图等辅助材料。</w:t>
            </w:r>
          </w:p>
          <w:p w14:paraId="3A1AE39C">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4.作品内容应逻辑清晰、结构完整、表述规范。</w:t>
            </w:r>
          </w:p>
        </w:tc>
      </w:tr>
      <w:tr w14:paraId="5BC6FB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94" w:type="dxa"/>
          <w:trHeight w:val="2608" w:hRule="atLeast"/>
        </w:trPr>
        <w:tc>
          <w:tcPr>
            <w:tcW w:w="1812" w:type="dxa"/>
            <w:gridSpan w:val="2"/>
            <w:vAlign w:val="center"/>
          </w:tcPr>
          <w:p w14:paraId="1442284A">
            <w:pPr>
              <w:adjustRightInd w:val="0"/>
              <w:snapToGrid w:val="0"/>
              <w:spacing w:line="560" w:lineRule="exact"/>
              <w:ind w:left="0" w:leftChars="0" w:right="0" w:rightChars="0" w:firstLine="0" w:firstLineChars="0"/>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作品评审</w:t>
            </w:r>
          </w:p>
          <w:p w14:paraId="0475773F">
            <w:pPr>
              <w:adjustRightInd w:val="0"/>
              <w:snapToGrid w:val="0"/>
              <w:spacing w:line="560" w:lineRule="exact"/>
              <w:ind w:left="0" w:leftChars="0" w:right="0" w:rightChars="0" w:firstLine="0" w:firstLineChars="0"/>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标准</w:t>
            </w:r>
          </w:p>
        </w:tc>
        <w:tc>
          <w:tcPr>
            <w:tcW w:w="6607" w:type="dxa"/>
            <w:gridSpan w:val="2"/>
            <w:vAlign w:val="center"/>
          </w:tcPr>
          <w:p w14:paraId="0BC4E4AD">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1.创新性（30%）：是否具有新颖的应用思路或模式、是否体现跨学科或技术融合创新，</w:t>
            </w:r>
          </w:p>
          <w:p w14:paraId="5A40735D">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2.可行性（30%）：技术路线是否合理、应用场景是否真实、明确。</w:t>
            </w:r>
          </w:p>
          <w:p w14:paraId="3FBCF10B">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3.应用价值（25%）：对提升交通效率、安全或管理水平的潜在作用、对智能网联汽车发展的促进意义。</w:t>
            </w:r>
          </w:p>
          <w:p w14:paraId="2FEAA6F9">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4.方案完整性与表达（15%）：方案结构完整、逻辑清楚、文档表达规范、重点突出。</w:t>
            </w:r>
          </w:p>
        </w:tc>
      </w:tr>
      <w:tr w14:paraId="21DA30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94" w:type="dxa"/>
          <w:trHeight w:val="1873" w:hRule="atLeast"/>
        </w:trPr>
        <w:tc>
          <w:tcPr>
            <w:tcW w:w="1812" w:type="dxa"/>
            <w:gridSpan w:val="2"/>
            <w:vAlign w:val="center"/>
          </w:tcPr>
          <w:p w14:paraId="73691538">
            <w:pPr>
              <w:adjustRightInd w:val="0"/>
              <w:snapToGrid w:val="0"/>
              <w:spacing w:line="560" w:lineRule="exact"/>
              <w:ind w:left="0" w:leftChars="0" w:right="0" w:rightChars="0" w:firstLine="0" w:firstLineChars="0"/>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其他</w:t>
            </w:r>
          </w:p>
        </w:tc>
        <w:tc>
          <w:tcPr>
            <w:tcW w:w="6607" w:type="dxa"/>
            <w:gridSpan w:val="2"/>
            <w:vAlign w:val="center"/>
          </w:tcPr>
          <w:p w14:paraId="7E87A5F8">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参赛作品不得涉及任何商业合作或利益绑定要求，出题单位不对作品提出商业化使用要求。</w:t>
            </w:r>
          </w:p>
        </w:tc>
      </w:tr>
    </w:tbl>
    <w:p w14:paraId="24E14D5A">
      <w:pPr>
        <w:sectPr>
          <w:footerReference r:id="rId3" w:type="default"/>
          <w:pgSz w:w="11906" w:h="16838"/>
          <w:pgMar w:top="1440" w:right="1800" w:bottom="1440" w:left="1800" w:header="0" w:footer="1259" w:gutter="0"/>
          <w:cols w:space="720" w:num="1"/>
        </w:sectPr>
      </w:pPr>
    </w:p>
    <w:p w14:paraId="2F67C25A">
      <w:pPr>
        <w:tabs>
          <w:tab w:val="left" w:pos="8640"/>
        </w:tabs>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三、激励保障</w:t>
      </w:r>
    </w:p>
    <w:tbl>
      <w:tblPr>
        <w:tblStyle w:val="27"/>
        <w:tblW w:w="8459" w:type="dxa"/>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12"/>
        <w:gridCol w:w="6647"/>
      </w:tblGrid>
      <w:tr w14:paraId="0221CA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1" w:hRule="atLeast"/>
        </w:trPr>
        <w:tc>
          <w:tcPr>
            <w:tcW w:w="1812" w:type="dxa"/>
            <w:vAlign w:val="center"/>
          </w:tcPr>
          <w:p w14:paraId="77D05E3B">
            <w:pPr>
              <w:adjustRightInd w:val="0"/>
              <w:snapToGrid w:val="0"/>
              <w:spacing w:line="560" w:lineRule="exact"/>
              <w:ind w:left="0" w:leftChars="0" w:right="0" w:rightChars="0" w:firstLine="0" w:firstLineChars="0"/>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保障措施</w:t>
            </w:r>
          </w:p>
        </w:tc>
        <w:tc>
          <w:tcPr>
            <w:tcW w:w="6647" w:type="dxa"/>
            <w:vAlign w:val="center"/>
          </w:tcPr>
          <w:p w14:paraId="1D7A5D8B">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1.为参赛团队提供选题相关的技术背景介绍与应用场景说明；</w:t>
            </w:r>
          </w:p>
          <w:p w14:paraId="38D3599C">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2.组织线上或线下交流，安排专业技术人员对参赛团队进行方向性指导与答疑；</w:t>
            </w:r>
          </w:p>
          <w:p w14:paraId="083796F8">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3.提供可参考的公开资料或案例，帮助学生理解行业背景。</w:t>
            </w:r>
          </w:p>
        </w:tc>
      </w:tr>
      <w:tr w14:paraId="71E1BE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8" w:hRule="atLeast"/>
        </w:trPr>
        <w:tc>
          <w:tcPr>
            <w:tcW w:w="1812" w:type="dxa"/>
            <w:vAlign w:val="center"/>
          </w:tcPr>
          <w:p w14:paraId="566197A8">
            <w:pPr>
              <w:adjustRightInd w:val="0"/>
              <w:snapToGrid w:val="0"/>
              <w:spacing w:line="560" w:lineRule="exact"/>
              <w:ind w:left="0" w:leftChars="0" w:right="0" w:rightChars="0" w:firstLine="0" w:firstLineChars="0"/>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奖项设置和奖励措施</w:t>
            </w:r>
          </w:p>
        </w:tc>
        <w:tc>
          <w:tcPr>
            <w:tcW w:w="6647" w:type="dxa"/>
            <w:vAlign w:val="center"/>
          </w:tcPr>
          <w:p w14:paraId="629FE8DF">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一、奖项设置</w:t>
            </w:r>
          </w:p>
          <w:p w14:paraId="5EA603C8">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原则上设“擂主”团队1个，根据实际情况评出相应的特等奖、一等奖、二等奖、三等奖项目若干。</w:t>
            </w:r>
          </w:p>
          <w:p w14:paraId="18212124">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二、激励措施</w:t>
            </w:r>
          </w:p>
          <w:p w14:paraId="538CDA40">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1.对所有获奖团队，由出题单位出具正式实习证明；</w:t>
            </w:r>
          </w:p>
          <w:p w14:paraId="623A8801">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2.对表现突出的团队或个人，优先推荐参与相关实践交流活动及申报市级奖项。</w:t>
            </w:r>
          </w:p>
        </w:tc>
      </w:tr>
    </w:tbl>
    <w:p w14:paraId="7073A602">
      <w:pPr>
        <w:spacing w:before="108" w:line="220" w:lineRule="auto"/>
        <w:ind w:left="67"/>
        <w:outlineLvl w:val="1"/>
        <w:rPr>
          <w:rFonts w:hint="eastAsia" w:ascii="黑体" w:hAnsi="黑体" w:eastAsia="黑体" w:cs="黑体"/>
          <w:sz w:val="32"/>
          <w:szCs w:val="32"/>
        </w:rPr>
      </w:pPr>
      <w:r>
        <w:rPr>
          <w:rFonts w:hint="eastAsia" w:ascii="黑体" w:hAnsi="黑体" w:eastAsia="黑体" w:cs="黑体"/>
          <w:b/>
          <w:bCs/>
          <w:spacing w:val="-3"/>
          <w:sz w:val="32"/>
          <w:szCs w:val="32"/>
        </w:rPr>
        <w:t>四、选题意义</w:t>
      </w:r>
    </w:p>
    <w:p w14:paraId="48EB59A7">
      <w:pPr>
        <w:spacing w:line="21" w:lineRule="exact"/>
      </w:pPr>
    </w:p>
    <w:tbl>
      <w:tblPr>
        <w:tblStyle w:val="27"/>
        <w:tblW w:w="8459" w:type="dxa"/>
        <w:tblInd w:w="2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12"/>
        <w:gridCol w:w="6647"/>
      </w:tblGrid>
      <w:tr w14:paraId="45E408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10" w:hRule="atLeast"/>
        </w:trPr>
        <w:tc>
          <w:tcPr>
            <w:tcW w:w="1812" w:type="dxa"/>
            <w:vAlign w:val="center"/>
          </w:tcPr>
          <w:p w14:paraId="0B6C4885">
            <w:pPr>
              <w:pStyle w:val="28"/>
              <w:spacing w:before="81" w:line="219" w:lineRule="auto"/>
              <w:jc w:val="center"/>
              <w:rPr>
                <w:rFonts w:hint="eastAsia" w:ascii="楷体_GB2312" w:hAnsi="楷体_GB2312" w:eastAsia="楷体_GB2312" w:cs="楷体_GB2312"/>
                <w:sz w:val="28"/>
                <w:szCs w:val="28"/>
              </w:rPr>
            </w:pPr>
            <w:r>
              <w:rPr>
                <w:rFonts w:hint="eastAsia" w:ascii="楷体_GB2312" w:hAnsi="楷体_GB2312" w:eastAsia="楷体_GB2312" w:cs="楷体_GB2312"/>
                <w:spacing w:val="3"/>
                <w:sz w:val="28"/>
                <w:szCs w:val="28"/>
              </w:rPr>
              <w:t>技术意义</w:t>
            </w:r>
          </w:p>
        </w:tc>
        <w:tc>
          <w:tcPr>
            <w:tcW w:w="6647" w:type="dxa"/>
            <w:vAlign w:val="top"/>
          </w:tcPr>
          <w:p w14:paraId="129449AF">
            <w:pPr>
              <w:pStyle w:val="28"/>
              <w:spacing w:before="243" w:line="219" w:lineRule="auto"/>
              <w:ind w:left="442"/>
              <w:rPr>
                <w:rFonts w:hint="eastAsia" w:ascii="仿宋_GB2312" w:hAnsi="仿宋_GB2312" w:eastAsia="仿宋_GB2312" w:cs="仿宋_GB2312"/>
              </w:rPr>
            </w:pPr>
            <w:r>
              <w:rPr>
                <w:rFonts w:hint="eastAsia" w:ascii="仿宋_GB2312" w:hAnsi="仿宋_GB2312" w:eastAsia="仿宋_GB2312" w:cs="仿宋_GB2312"/>
              </w:rPr>
              <w:t>本选题聚焦智能网联汽车在复杂交通场景下的应用创</w:t>
            </w:r>
          </w:p>
          <w:p w14:paraId="3581C5FB">
            <w:pPr>
              <w:pStyle w:val="28"/>
              <w:spacing w:before="22" w:line="231" w:lineRule="auto"/>
              <w:ind w:left="33" w:right="50" w:firstLine="29"/>
              <w:rPr>
                <w:rFonts w:hint="eastAsia" w:ascii="仿宋_GB2312" w:hAnsi="仿宋_GB2312" w:eastAsia="仿宋_GB2312" w:cs="仿宋_GB2312"/>
              </w:rPr>
            </w:pPr>
            <w:r>
              <w:rPr>
                <w:rFonts w:hint="eastAsia" w:ascii="仿宋_GB2312" w:hAnsi="仿宋_GB2312" w:eastAsia="仿宋_GB2312" w:cs="仿宋_GB2312"/>
              </w:rPr>
              <w:t>新，有助于启发青年学生从系统视角理解车、路、云协同发</w:t>
            </w:r>
            <w:r>
              <w:rPr>
                <w:rFonts w:hint="eastAsia" w:ascii="仿宋_GB2312" w:hAnsi="仿宋_GB2312" w:eastAsia="仿宋_GB2312" w:cs="仿宋_GB2312"/>
                <w:spacing w:val="9"/>
              </w:rPr>
              <w:t xml:space="preserve"> </w:t>
            </w:r>
            <w:r>
              <w:rPr>
                <w:rFonts w:hint="eastAsia" w:ascii="仿宋_GB2312" w:hAnsi="仿宋_GB2312" w:eastAsia="仿宋_GB2312" w:cs="仿宋_GB2312"/>
                <w:spacing w:val="2"/>
              </w:rPr>
              <w:t>展方向，为相关技术应用和模式探索提供新思路，对推动智</w:t>
            </w:r>
            <w:r>
              <w:rPr>
                <w:rFonts w:hint="eastAsia" w:ascii="仿宋_GB2312" w:hAnsi="仿宋_GB2312" w:eastAsia="仿宋_GB2312" w:cs="仿宋_GB2312"/>
              </w:rPr>
              <w:t xml:space="preserve"> </w:t>
            </w:r>
            <w:r>
              <w:rPr>
                <w:rFonts w:hint="eastAsia" w:ascii="仿宋_GB2312" w:hAnsi="仿宋_GB2312" w:eastAsia="仿宋_GB2312" w:cs="仿宋_GB2312"/>
                <w:spacing w:val="-1"/>
              </w:rPr>
              <w:t>能网联技术与实际交通需求的结合具有积极意义。</w:t>
            </w:r>
          </w:p>
        </w:tc>
      </w:tr>
      <w:tr w14:paraId="440154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0" w:hRule="atLeast"/>
        </w:trPr>
        <w:tc>
          <w:tcPr>
            <w:tcW w:w="1812" w:type="dxa"/>
            <w:vAlign w:val="center"/>
          </w:tcPr>
          <w:p w14:paraId="42DE9BC0">
            <w:pPr>
              <w:pStyle w:val="28"/>
              <w:spacing w:before="82" w:line="219" w:lineRule="auto"/>
              <w:jc w:val="center"/>
              <w:rPr>
                <w:rFonts w:hint="eastAsia" w:ascii="楷体_GB2312" w:hAnsi="楷体_GB2312" w:eastAsia="楷体_GB2312" w:cs="楷体_GB2312"/>
                <w:sz w:val="28"/>
                <w:szCs w:val="28"/>
              </w:rPr>
            </w:pPr>
            <w:r>
              <w:rPr>
                <w:rFonts w:hint="eastAsia" w:ascii="楷体_GB2312" w:hAnsi="楷体_GB2312" w:eastAsia="楷体_GB2312" w:cs="楷体_GB2312"/>
                <w:spacing w:val="1"/>
                <w:sz w:val="28"/>
                <w:szCs w:val="28"/>
              </w:rPr>
              <w:t>经济社会效益</w:t>
            </w:r>
          </w:p>
        </w:tc>
        <w:tc>
          <w:tcPr>
            <w:tcW w:w="6647" w:type="dxa"/>
            <w:vAlign w:val="top"/>
          </w:tcPr>
          <w:p w14:paraId="5F5A96C3">
            <w:pPr>
              <w:spacing w:line="242" w:lineRule="auto"/>
              <w:rPr>
                <w:rFonts w:hint="eastAsia" w:ascii="仿宋_GB2312" w:hAnsi="仿宋_GB2312" w:eastAsia="仿宋_GB2312" w:cs="仿宋_GB2312"/>
                <w:sz w:val="21"/>
              </w:rPr>
            </w:pPr>
          </w:p>
          <w:p w14:paraId="30F0EFC5">
            <w:pPr>
              <w:pStyle w:val="28"/>
              <w:spacing w:before="81" w:line="219" w:lineRule="auto"/>
              <w:ind w:left="442"/>
              <w:rPr>
                <w:rFonts w:hint="eastAsia" w:ascii="仿宋_GB2312" w:hAnsi="仿宋_GB2312" w:eastAsia="仿宋_GB2312" w:cs="仿宋_GB2312"/>
              </w:rPr>
            </w:pPr>
            <w:r>
              <w:rPr>
                <w:rFonts w:hint="eastAsia" w:ascii="仿宋_GB2312" w:hAnsi="仿宋_GB2312" w:eastAsia="仿宋_GB2312" w:cs="仿宋_GB2312"/>
              </w:rPr>
              <w:t>通过引导大学生关注智慧交通与智能网联应用场景创</w:t>
            </w:r>
          </w:p>
          <w:p w14:paraId="693EF926">
            <w:pPr>
              <w:pStyle w:val="28"/>
              <w:spacing w:before="2" w:line="241" w:lineRule="auto"/>
              <w:ind w:left="13" w:right="58" w:firstLine="49"/>
              <w:rPr>
                <w:rFonts w:hint="eastAsia" w:ascii="仿宋_GB2312" w:hAnsi="仿宋_GB2312" w:eastAsia="仿宋_GB2312" w:cs="仿宋_GB2312"/>
              </w:rPr>
            </w:pPr>
            <w:r>
              <w:rPr>
                <w:rFonts w:hint="eastAsia" w:ascii="仿宋_GB2312" w:hAnsi="仿宋_GB2312" w:eastAsia="仿宋_GB2312" w:cs="仿宋_GB2312"/>
              </w:rPr>
              <w:t>新，推动青年科技力量参与城市交通治理和产业发展，有助</w:t>
            </w:r>
            <w:r>
              <w:rPr>
                <w:rFonts w:hint="eastAsia" w:ascii="仿宋_GB2312" w:hAnsi="仿宋_GB2312" w:eastAsia="仿宋_GB2312" w:cs="仿宋_GB2312"/>
                <w:spacing w:val="14"/>
              </w:rPr>
              <w:t xml:space="preserve"> </w:t>
            </w:r>
            <w:r>
              <w:rPr>
                <w:rFonts w:hint="eastAsia" w:ascii="仿宋_GB2312" w:hAnsi="仿宋_GB2312" w:eastAsia="仿宋_GB2312" w:cs="仿宋_GB2312"/>
                <w:spacing w:val="2"/>
              </w:rPr>
              <w:t>于提升公众对智能出行的认知，培育未来技术人才储备，对</w:t>
            </w:r>
            <w:r>
              <w:rPr>
                <w:rFonts w:hint="eastAsia" w:ascii="仿宋_GB2312" w:hAnsi="仿宋_GB2312" w:eastAsia="仿宋_GB2312" w:cs="仿宋_GB2312"/>
                <w:spacing w:val="7"/>
              </w:rPr>
              <w:t xml:space="preserve"> </w:t>
            </w:r>
            <w:r>
              <w:rPr>
                <w:rFonts w:hint="eastAsia" w:ascii="仿宋_GB2312" w:hAnsi="仿宋_GB2312" w:eastAsia="仿宋_GB2312" w:cs="仿宋_GB2312"/>
                <w:spacing w:val="-1"/>
              </w:rPr>
              <w:t>促进交通领域高质量发展具有一定社会效益。</w:t>
            </w:r>
          </w:p>
        </w:tc>
      </w:tr>
    </w:tbl>
    <w:p w14:paraId="5B901C3C">
      <w:pPr>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br w:type="page"/>
      </w:r>
    </w:p>
    <w:p w14:paraId="4CCA34B8">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“青智未来”新质生产力</w:t>
      </w:r>
      <w:r>
        <w:rPr>
          <w:rFonts w:hint="default" w:ascii="Times New Roman" w:hAnsi="Times New Roman" w:eastAsia="方正小标宋简体" w:cs="Times New Roman"/>
          <w:b w:val="0"/>
          <w:bCs/>
          <w:kern w:val="2"/>
          <w:sz w:val="44"/>
          <w:szCs w:val="32"/>
          <w:highlight w:val="none"/>
          <w:lang w:val="en-US" w:eastAsia="zh-CN"/>
        </w:rPr>
        <w:t>专项赛</w:t>
      </w:r>
    </w:p>
    <w:p w14:paraId="7311247A">
      <w:pPr>
        <w:keepNext w:val="0"/>
        <w:keepLines w:val="0"/>
        <w:pageBreakBefore w:val="0"/>
        <w:widowControl w:val="0"/>
        <w:tabs>
          <w:tab w:val="left" w:pos="8640"/>
        </w:tabs>
        <w:kinsoku/>
        <w:wordWrap w:val="0"/>
        <w:topLinePunct w:val="0"/>
        <w:autoSpaceDE/>
        <w:autoSpaceDN/>
        <w:bidi w:val="0"/>
        <w:adjustRightInd w:val="0"/>
        <w:snapToGrid w:val="0"/>
        <w:spacing w:line="560" w:lineRule="exact"/>
        <w:jc w:val="center"/>
        <w:rPr>
          <w:rFonts w:hint="default" w:ascii="Times New Roman" w:hAnsi="Times New Roman" w:eastAsia="方正小标宋简体" w:cs="Times New Roman"/>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—0</w:t>
      </w:r>
      <w:r>
        <w:rPr>
          <w:rFonts w:hint="eastAsia" w:eastAsia="方正小标宋简体" w:cs="方正小标宋简体"/>
          <w:b w:val="0"/>
          <w:bCs/>
          <w:kern w:val="2"/>
          <w:sz w:val="44"/>
          <w:szCs w:val="32"/>
          <w:highlight w:val="none"/>
          <w:lang w:val="en-US" w:eastAsia="zh-CN"/>
        </w:rPr>
        <w:t>6</w:t>
      </w:r>
    </w:p>
    <w:p w14:paraId="0E813191">
      <w:pPr>
        <w:keepNext w:val="0"/>
        <w:keepLines w:val="0"/>
        <w:pageBreakBefore w:val="0"/>
        <w:widowControl w:val="0"/>
        <w:tabs>
          <w:tab w:val="left" w:pos="8640"/>
        </w:tabs>
        <w:kinsoku/>
        <w:wordWrap w:val="0"/>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b w:val="0"/>
          <w:bCs/>
          <w:kern w:val="2"/>
          <w:sz w:val="32"/>
          <w:szCs w:val="22"/>
          <w:highlight w:val="none"/>
          <w:lang w:val="en-US" w:eastAsia="zh-CN"/>
        </w:rPr>
      </w:pPr>
    </w:p>
    <w:p w14:paraId="5659E3D3">
      <w:pPr>
        <w:tabs>
          <w:tab w:val="left" w:pos="8640"/>
        </w:tabs>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一、单位信息</w:t>
      </w:r>
    </w:p>
    <w:tbl>
      <w:tblPr>
        <w:tblStyle w:val="27"/>
        <w:tblW w:w="8549" w:type="dxa"/>
        <w:tblInd w:w="10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63"/>
        <w:gridCol w:w="3066"/>
        <w:gridCol w:w="1058"/>
        <w:gridCol w:w="2762"/>
      </w:tblGrid>
      <w:tr w14:paraId="58F711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3" w:hRule="atLeast"/>
        </w:trPr>
        <w:tc>
          <w:tcPr>
            <w:tcW w:w="1663" w:type="dxa"/>
            <w:vAlign w:val="top"/>
          </w:tcPr>
          <w:p w14:paraId="2FB3C6CD">
            <w:pPr>
              <w:adjustRightInd w:val="0"/>
              <w:snapToGrid w:val="0"/>
              <w:spacing w:line="560" w:lineRule="exact"/>
              <w:ind w:left="0" w:leftChars="0" w:right="0" w:rightChars="0" w:firstLine="0" w:firstLineChars="0"/>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单位名称</w:t>
            </w:r>
          </w:p>
        </w:tc>
        <w:tc>
          <w:tcPr>
            <w:tcW w:w="6886" w:type="dxa"/>
            <w:gridSpan w:val="3"/>
            <w:vAlign w:val="center"/>
          </w:tcPr>
          <w:p w14:paraId="577C3B7C">
            <w:pPr>
              <w:widowControl w:val="0"/>
              <w:adjustRightInd w:val="0"/>
              <w:snapToGrid w:val="0"/>
              <w:ind w:left="0" w:leftChars="0" w:right="0" w:rightChars="0" w:firstLine="0" w:firstLineChars="0"/>
              <w:jc w:val="center"/>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北京汽车研究总院有限公司</w:t>
            </w:r>
          </w:p>
        </w:tc>
      </w:tr>
      <w:tr w14:paraId="600C6E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1663" w:type="dxa"/>
            <w:vAlign w:val="top"/>
          </w:tcPr>
          <w:p w14:paraId="69AD2DD3">
            <w:pPr>
              <w:adjustRightInd w:val="0"/>
              <w:snapToGrid w:val="0"/>
              <w:spacing w:line="560" w:lineRule="exact"/>
              <w:ind w:left="0" w:leftChars="0" w:right="0" w:rightChars="0" w:firstLine="0" w:firstLineChars="0"/>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单位类型</w:t>
            </w:r>
          </w:p>
        </w:tc>
        <w:tc>
          <w:tcPr>
            <w:tcW w:w="6886" w:type="dxa"/>
            <w:gridSpan w:val="3"/>
            <w:vAlign w:val="center"/>
          </w:tcPr>
          <w:p w14:paraId="0F723A3B">
            <w:pPr>
              <w:widowControl w:val="0"/>
              <w:adjustRightInd w:val="0"/>
              <w:snapToGrid w:val="0"/>
              <w:ind w:left="0" w:leftChars="0" w:right="0" w:rightChars="0" w:firstLine="0" w:firstLineChars="0"/>
              <w:jc w:val="center"/>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国有企业</w:t>
            </w:r>
          </w:p>
        </w:tc>
      </w:tr>
      <w:tr w14:paraId="3F4BA5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663" w:type="dxa"/>
            <w:vAlign w:val="top"/>
          </w:tcPr>
          <w:p w14:paraId="083B0035">
            <w:pPr>
              <w:adjustRightInd w:val="0"/>
              <w:snapToGrid w:val="0"/>
              <w:spacing w:line="560" w:lineRule="exact"/>
              <w:ind w:left="0" w:leftChars="0" w:right="0" w:rightChars="0" w:firstLine="0" w:firstLineChars="0"/>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地址</w:t>
            </w:r>
          </w:p>
        </w:tc>
        <w:tc>
          <w:tcPr>
            <w:tcW w:w="6886" w:type="dxa"/>
            <w:gridSpan w:val="3"/>
            <w:vAlign w:val="center"/>
          </w:tcPr>
          <w:p w14:paraId="6280A0B7">
            <w:pPr>
              <w:widowControl w:val="0"/>
              <w:adjustRightInd w:val="0"/>
              <w:snapToGrid w:val="0"/>
              <w:ind w:left="0" w:leftChars="0" w:right="0" w:rightChars="0" w:firstLine="0" w:firstLineChars="0"/>
              <w:jc w:val="center"/>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北京市顺义区仁和镇双河大街99号院1幢</w:t>
            </w:r>
          </w:p>
        </w:tc>
      </w:tr>
      <w:tr w14:paraId="7D48B8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6" w:hRule="atLeast"/>
        </w:trPr>
        <w:tc>
          <w:tcPr>
            <w:tcW w:w="1663" w:type="dxa"/>
            <w:vAlign w:val="top"/>
          </w:tcPr>
          <w:p w14:paraId="254F4917">
            <w:pPr>
              <w:adjustRightInd w:val="0"/>
              <w:snapToGrid w:val="0"/>
              <w:spacing w:line="560" w:lineRule="exact"/>
              <w:ind w:left="0" w:leftChars="0" w:right="0" w:rightChars="0" w:firstLine="0" w:firstLineChars="0"/>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单位简介</w:t>
            </w:r>
          </w:p>
        </w:tc>
        <w:tc>
          <w:tcPr>
            <w:tcW w:w="6886" w:type="dxa"/>
            <w:gridSpan w:val="3"/>
            <w:vAlign w:val="center"/>
          </w:tcPr>
          <w:p w14:paraId="289676E2">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北京汽车研究总院有限公司是北京汽车集团有限公司下</w:t>
            </w:r>
          </w:p>
          <w:p w14:paraId="4E445D21">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属核心研发机构，聚焦整车技术、智能网联、新能源及前沿技术研究，承担集团多项关键技术研发任务。公司围绕智能网联汽车、车路协同、自动驾驶相关技术开展系统性研究，具备较为完善的技术研发体系、实验条件和产业应用场景，在行业内具有一定技术积累和示范应用基础。</w:t>
            </w:r>
          </w:p>
        </w:tc>
      </w:tr>
      <w:tr w14:paraId="2537F3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1663" w:type="dxa"/>
            <w:vAlign w:val="top"/>
          </w:tcPr>
          <w:p w14:paraId="04AE1774">
            <w:pPr>
              <w:adjustRightInd w:val="0"/>
              <w:snapToGrid w:val="0"/>
              <w:spacing w:line="560" w:lineRule="exact"/>
              <w:ind w:left="0" w:leftChars="0" w:right="0" w:rightChars="0" w:firstLine="0" w:firstLineChars="0"/>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联系人</w:t>
            </w:r>
          </w:p>
        </w:tc>
        <w:tc>
          <w:tcPr>
            <w:tcW w:w="3066" w:type="dxa"/>
            <w:vAlign w:val="center"/>
          </w:tcPr>
          <w:p w14:paraId="004FF9B2">
            <w:pPr>
              <w:widowControl w:val="0"/>
              <w:adjustRightInd w:val="0"/>
              <w:snapToGrid w:val="0"/>
              <w:ind w:left="0" w:leftChars="0" w:right="0" w:rightChars="0" w:firstLine="0" w:firstLineChars="0"/>
              <w:jc w:val="center"/>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张静宜</w:t>
            </w:r>
          </w:p>
        </w:tc>
        <w:tc>
          <w:tcPr>
            <w:tcW w:w="1058" w:type="dxa"/>
            <w:vAlign w:val="top"/>
          </w:tcPr>
          <w:p w14:paraId="37A4933C">
            <w:pPr>
              <w:adjustRightInd w:val="0"/>
              <w:snapToGrid w:val="0"/>
              <w:spacing w:line="560" w:lineRule="exact"/>
              <w:ind w:left="0" w:leftChars="0" w:right="0" w:rightChars="0" w:firstLine="0" w:firstLineChars="0"/>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职务</w:t>
            </w:r>
          </w:p>
        </w:tc>
        <w:tc>
          <w:tcPr>
            <w:tcW w:w="2762" w:type="dxa"/>
            <w:vAlign w:val="center"/>
          </w:tcPr>
          <w:p w14:paraId="5B8BCA9C">
            <w:pPr>
              <w:widowControl w:val="0"/>
              <w:adjustRightInd w:val="0"/>
              <w:snapToGrid w:val="0"/>
              <w:ind w:left="0" w:leftChars="0" w:right="0" w:rightChars="0" w:firstLine="0" w:firstLineChars="0"/>
              <w:jc w:val="center"/>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软件开发科科长</w:t>
            </w:r>
          </w:p>
        </w:tc>
      </w:tr>
      <w:tr w14:paraId="361FDE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3" w:hRule="atLeast"/>
        </w:trPr>
        <w:tc>
          <w:tcPr>
            <w:tcW w:w="1663" w:type="dxa"/>
            <w:vAlign w:val="top"/>
          </w:tcPr>
          <w:p w14:paraId="4160195F">
            <w:pPr>
              <w:adjustRightInd w:val="0"/>
              <w:snapToGrid w:val="0"/>
              <w:spacing w:line="560" w:lineRule="exact"/>
              <w:ind w:left="0" w:leftChars="0" w:right="0" w:rightChars="0" w:firstLine="0" w:firstLineChars="0"/>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联系方式</w:t>
            </w:r>
          </w:p>
        </w:tc>
        <w:tc>
          <w:tcPr>
            <w:tcW w:w="3066" w:type="dxa"/>
            <w:vAlign w:val="center"/>
          </w:tcPr>
          <w:p w14:paraId="52625FA1">
            <w:pPr>
              <w:widowControl w:val="0"/>
              <w:adjustRightInd w:val="0"/>
              <w:snapToGrid w:val="0"/>
              <w:ind w:left="0" w:leftChars="0" w:right="0" w:rightChars="0" w:firstLine="0" w:firstLineChars="0"/>
              <w:jc w:val="center"/>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13910111615</w:t>
            </w:r>
          </w:p>
        </w:tc>
        <w:tc>
          <w:tcPr>
            <w:tcW w:w="1058" w:type="dxa"/>
            <w:vAlign w:val="top"/>
          </w:tcPr>
          <w:p w14:paraId="08FCDD3D">
            <w:pPr>
              <w:adjustRightInd w:val="0"/>
              <w:snapToGrid w:val="0"/>
              <w:spacing w:line="560" w:lineRule="exact"/>
              <w:ind w:left="0" w:leftChars="0" w:right="0" w:rightChars="0" w:firstLine="0" w:firstLineChars="0"/>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微信</w:t>
            </w:r>
          </w:p>
        </w:tc>
        <w:tc>
          <w:tcPr>
            <w:tcW w:w="2762" w:type="dxa"/>
            <w:vAlign w:val="center"/>
          </w:tcPr>
          <w:p w14:paraId="2BA380E5">
            <w:pPr>
              <w:widowControl w:val="0"/>
              <w:adjustRightInd w:val="0"/>
              <w:snapToGrid w:val="0"/>
              <w:ind w:left="0" w:leftChars="0" w:right="0" w:rightChars="0" w:firstLine="0" w:firstLineChars="0"/>
              <w:jc w:val="center"/>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13910111615</w:t>
            </w:r>
          </w:p>
        </w:tc>
      </w:tr>
    </w:tbl>
    <w:p w14:paraId="3C07C668">
      <w:pPr>
        <w:tabs>
          <w:tab w:val="left" w:pos="8640"/>
        </w:tabs>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二、选题说明</w:t>
      </w:r>
    </w:p>
    <w:tbl>
      <w:tblPr>
        <w:tblStyle w:val="27"/>
        <w:tblW w:w="8459" w:type="dxa"/>
        <w:tblInd w:w="1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32"/>
        <w:gridCol w:w="6627"/>
      </w:tblGrid>
      <w:tr w14:paraId="094929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1" w:hRule="atLeast"/>
        </w:trPr>
        <w:tc>
          <w:tcPr>
            <w:tcW w:w="1832" w:type="dxa"/>
            <w:vAlign w:val="center"/>
          </w:tcPr>
          <w:p w14:paraId="67DA2972">
            <w:pPr>
              <w:adjustRightInd w:val="0"/>
              <w:snapToGrid w:val="0"/>
              <w:spacing w:line="560" w:lineRule="exact"/>
              <w:ind w:left="0" w:leftChars="0" w:right="0" w:rightChars="0" w:firstLine="0" w:firstLineChars="0"/>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选题题目</w:t>
            </w:r>
          </w:p>
        </w:tc>
        <w:tc>
          <w:tcPr>
            <w:tcW w:w="6627" w:type="dxa"/>
            <w:vAlign w:val="center"/>
          </w:tcPr>
          <w:p w14:paraId="0F7D1C7C">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面向智能网联汽车运行行为数据监测的大模型技术</w:t>
            </w:r>
          </w:p>
        </w:tc>
      </w:tr>
      <w:tr w14:paraId="7C141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9" w:hRule="atLeast"/>
        </w:trPr>
        <w:tc>
          <w:tcPr>
            <w:tcW w:w="1832" w:type="dxa"/>
            <w:vAlign w:val="center"/>
          </w:tcPr>
          <w:p w14:paraId="4B85B4DA">
            <w:pPr>
              <w:adjustRightInd w:val="0"/>
              <w:snapToGrid w:val="0"/>
              <w:spacing w:line="560" w:lineRule="exact"/>
              <w:ind w:left="0" w:leftChars="0" w:right="0" w:rightChars="0" w:firstLine="0" w:firstLineChars="0"/>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行业领域</w:t>
            </w:r>
          </w:p>
        </w:tc>
        <w:tc>
          <w:tcPr>
            <w:tcW w:w="6627" w:type="dxa"/>
            <w:vAlign w:val="center"/>
          </w:tcPr>
          <w:p w14:paraId="709FA34F">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智能网联汽车+人工智能</w:t>
            </w:r>
          </w:p>
        </w:tc>
      </w:tr>
    </w:tbl>
    <w:p w14:paraId="7294C2F9">
      <w:pPr>
        <w:rPr>
          <w:rFonts w:ascii="Arial" w:hAnsi="Arial" w:eastAsia="Arial" w:cs="Arial"/>
          <w:sz w:val="21"/>
          <w:szCs w:val="21"/>
        </w:rPr>
        <w:sectPr>
          <w:footerReference r:id="rId4" w:type="default"/>
          <w:pgSz w:w="11906" w:h="16838"/>
          <w:pgMar w:top="1440" w:right="1800" w:bottom="1440" w:left="1800" w:header="851" w:footer="992" w:gutter="0"/>
          <w:cols w:space="425" w:num="1"/>
          <w:docGrid w:type="lines" w:linePitch="312" w:charSpace="0"/>
        </w:sectPr>
      </w:pPr>
    </w:p>
    <w:tbl>
      <w:tblPr>
        <w:tblStyle w:val="27"/>
        <w:tblW w:w="8437" w:type="dxa"/>
        <w:tblInd w:w="2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23"/>
        <w:gridCol w:w="6614"/>
      </w:tblGrid>
      <w:tr w14:paraId="72DE91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0" w:hRule="atLeast"/>
        </w:trPr>
        <w:tc>
          <w:tcPr>
            <w:tcW w:w="1823" w:type="dxa"/>
            <w:vAlign w:val="center"/>
          </w:tcPr>
          <w:p w14:paraId="174D64FE">
            <w:pPr>
              <w:adjustRightInd w:val="0"/>
              <w:snapToGrid w:val="0"/>
              <w:spacing w:line="560" w:lineRule="exact"/>
              <w:ind w:left="0" w:leftChars="0" w:right="0" w:rightChars="0" w:firstLine="0" w:firstLineChars="0"/>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题目介绍</w:t>
            </w:r>
          </w:p>
        </w:tc>
        <w:tc>
          <w:tcPr>
            <w:tcW w:w="6614" w:type="dxa"/>
            <w:vAlign w:val="center"/>
          </w:tcPr>
          <w:p w14:paraId="0530D477">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智能网联汽车是新一代信息技术、人工智能等前沿技术的集合体，也是具身智能与机器人的典型代表。安全已成为智能网联汽车大规模商业化应用的最大挑战，本选题旨在构建智能网联汽车安全监测专用大模型，基于大规模车辆运行数据，结合大模型的数据分析与长时推理能力，实现对智能网联汽车运行异常状态、智能驾驶功能安全等多维安全状态的监测，为提升智能网联汽车安全水平，保障大规模车辆运行安全提供支撑。</w:t>
            </w:r>
          </w:p>
          <w:p w14:paraId="264F5FB4">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选题的目标包括：①建立智能网联汽车车载网络-车辆行为数据集；②研发智能网联汽车安全监测专用大模型；③基于专用大模型，实现对智能网联汽车行为异常、运行安全等监测与分析。</w:t>
            </w:r>
          </w:p>
        </w:tc>
      </w:tr>
      <w:tr w14:paraId="4EAC11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78" w:hRule="atLeast"/>
        </w:trPr>
        <w:tc>
          <w:tcPr>
            <w:tcW w:w="1823" w:type="dxa"/>
            <w:vAlign w:val="center"/>
          </w:tcPr>
          <w:p w14:paraId="4467196E">
            <w:pPr>
              <w:adjustRightInd w:val="0"/>
              <w:snapToGrid w:val="0"/>
              <w:spacing w:line="560" w:lineRule="exact"/>
              <w:ind w:left="0" w:leftChars="0" w:right="0" w:rightChars="0" w:firstLine="0" w:firstLineChars="0"/>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作品要求</w:t>
            </w:r>
          </w:p>
        </w:tc>
        <w:tc>
          <w:tcPr>
            <w:tcW w:w="6614" w:type="dxa"/>
            <w:vAlign w:val="center"/>
          </w:tcPr>
          <w:p w14:paraId="228CCAA0">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1.研发出智能网联汽车安全监测专用大模型，并基于车载网络-车辆行为数据集开展测试验证；</w:t>
            </w:r>
          </w:p>
          <w:p w14:paraId="5323914F">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提交专用大模型代码和研发报告、测试报告。</w:t>
            </w:r>
          </w:p>
        </w:tc>
      </w:tr>
      <w:tr w14:paraId="2BB320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78" w:hRule="atLeast"/>
        </w:trPr>
        <w:tc>
          <w:tcPr>
            <w:tcW w:w="1823" w:type="dxa"/>
            <w:vAlign w:val="center"/>
          </w:tcPr>
          <w:p w14:paraId="05F76B8D">
            <w:pPr>
              <w:adjustRightInd w:val="0"/>
              <w:snapToGrid w:val="0"/>
              <w:spacing w:line="560" w:lineRule="exact"/>
              <w:ind w:left="0" w:leftChars="0" w:right="0" w:rightChars="0" w:firstLine="0" w:firstLineChars="0"/>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作品评审</w:t>
            </w:r>
          </w:p>
          <w:p w14:paraId="4213348E">
            <w:pPr>
              <w:adjustRightInd w:val="0"/>
              <w:snapToGrid w:val="0"/>
              <w:spacing w:line="560" w:lineRule="exact"/>
              <w:ind w:left="0" w:leftChars="0" w:right="0" w:rightChars="0" w:firstLine="0" w:firstLineChars="0"/>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标准</w:t>
            </w:r>
          </w:p>
        </w:tc>
        <w:tc>
          <w:tcPr>
            <w:tcW w:w="6614" w:type="dxa"/>
            <w:vAlign w:val="center"/>
          </w:tcPr>
          <w:p w14:paraId="02AED3A2">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1.智能网联汽车安全监测专用大模型具有创新性，包括但不限于模型参数微调、提示词构建、RAG等过程；</w:t>
            </w:r>
          </w:p>
          <w:p w14:paraId="02D0DFD9">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2.专用大模型对智能网联汽车安全事件、异常行为的识别准确率≥90%；</w:t>
            </w:r>
          </w:p>
          <w:p w14:paraId="70C1309D">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提交的专用大模型代码编码规范、可稳定运行；技术报告内容规范、表述清晰。</w:t>
            </w:r>
          </w:p>
        </w:tc>
      </w:tr>
      <w:tr w14:paraId="7AB8FF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3" w:hRule="atLeast"/>
        </w:trPr>
        <w:tc>
          <w:tcPr>
            <w:tcW w:w="1823" w:type="dxa"/>
            <w:vAlign w:val="center"/>
          </w:tcPr>
          <w:p w14:paraId="0B0E35EF">
            <w:pPr>
              <w:adjustRightInd w:val="0"/>
              <w:snapToGrid w:val="0"/>
              <w:spacing w:line="560" w:lineRule="exact"/>
              <w:ind w:left="0" w:leftChars="0" w:right="0" w:rightChars="0" w:firstLine="0" w:firstLineChars="0"/>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其他</w:t>
            </w:r>
          </w:p>
        </w:tc>
        <w:tc>
          <w:tcPr>
            <w:tcW w:w="6614" w:type="dxa"/>
            <w:vAlign w:val="center"/>
          </w:tcPr>
          <w:p w14:paraId="11EB79C4">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p>
        </w:tc>
      </w:tr>
    </w:tbl>
    <w:p w14:paraId="7B554A05">
      <w:pPr>
        <w:rPr>
          <w:rFonts w:ascii="Arial" w:hAnsi="Arial" w:eastAsia="Arial" w:cs="Arial"/>
          <w:sz w:val="21"/>
          <w:szCs w:val="21"/>
        </w:rPr>
        <w:sectPr>
          <w:footerReference r:id="rId5" w:type="default"/>
          <w:pgSz w:w="11906" w:h="16838"/>
          <w:pgMar w:top="1440" w:right="1800" w:bottom="1440" w:left="1800" w:header="0" w:footer="1799" w:gutter="0"/>
          <w:cols w:space="720" w:num="1"/>
        </w:sectPr>
      </w:pPr>
    </w:p>
    <w:p w14:paraId="22CB81A2">
      <w:pPr>
        <w:tabs>
          <w:tab w:val="left" w:pos="8640"/>
        </w:tabs>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三、激励保障</w:t>
      </w:r>
    </w:p>
    <w:tbl>
      <w:tblPr>
        <w:tblStyle w:val="27"/>
        <w:tblW w:w="8465" w:type="dxa"/>
        <w:tblInd w:w="1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22"/>
        <w:gridCol w:w="6643"/>
      </w:tblGrid>
      <w:tr w14:paraId="4F619D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2" w:hRule="atLeast"/>
        </w:trPr>
        <w:tc>
          <w:tcPr>
            <w:tcW w:w="1822" w:type="dxa"/>
            <w:vAlign w:val="center"/>
          </w:tcPr>
          <w:p w14:paraId="0D088728">
            <w:pPr>
              <w:adjustRightInd w:val="0"/>
              <w:snapToGrid w:val="0"/>
              <w:spacing w:line="560" w:lineRule="exact"/>
              <w:ind w:left="0" w:leftChars="0" w:right="0" w:rightChars="0" w:firstLine="0" w:firstLineChars="0"/>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保障措施</w:t>
            </w:r>
          </w:p>
        </w:tc>
        <w:tc>
          <w:tcPr>
            <w:tcW w:w="6643" w:type="dxa"/>
            <w:vAlign w:val="center"/>
          </w:tcPr>
          <w:p w14:paraId="3775A032">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为了确保参赛团队在比赛中取得优异成绩，将提供全方位的指导帮助和支持，包括：</w:t>
            </w:r>
          </w:p>
          <w:p w14:paraId="14F43095">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参观应用场景：将安排参赛团队参观相关的实际应用场景，以便更好地了解行业现状、发展趋势和应用前景</w:t>
            </w:r>
          </w:p>
          <w:p w14:paraId="04DD2372">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实践调研：将组织参赛团队进行实践调研，深入了解行业内的实际问题和需求。</w:t>
            </w:r>
          </w:p>
          <w:p w14:paraId="5CA73D20">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配备专门指导人员：将为参赛团队配备经验丰富的指导老师，提供技术指导、创意指导和策略建议等。</w:t>
            </w:r>
          </w:p>
        </w:tc>
      </w:tr>
      <w:tr w14:paraId="5AA1C1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8" w:hRule="atLeast"/>
        </w:trPr>
        <w:tc>
          <w:tcPr>
            <w:tcW w:w="1822" w:type="dxa"/>
            <w:vAlign w:val="center"/>
          </w:tcPr>
          <w:p w14:paraId="28745EFF">
            <w:pPr>
              <w:adjustRightInd w:val="0"/>
              <w:snapToGrid w:val="0"/>
              <w:spacing w:line="560" w:lineRule="exact"/>
              <w:ind w:left="0" w:leftChars="0" w:right="0" w:rightChars="0" w:firstLine="0" w:firstLineChars="0"/>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奖项设置和奖励措施</w:t>
            </w:r>
          </w:p>
        </w:tc>
        <w:tc>
          <w:tcPr>
            <w:tcW w:w="6643" w:type="dxa"/>
            <w:vAlign w:val="center"/>
          </w:tcPr>
          <w:p w14:paraId="7BFF72AA">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一、奖项设置</w:t>
            </w:r>
          </w:p>
          <w:p w14:paraId="6AA90D42">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原则上设“擂主”团队1个，根据实际情况评出相应的特等奖、一等奖、二等奖、三等奖项目若干。</w:t>
            </w:r>
          </w:p>
          <w:p w14:paraId="2D6C8A58">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二、激励措施</w:t>
            </w:r>
          </w:p>
          <w:p w14:paraId="07807F72">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1.获奖团队将依据等次获得实习实践机会，就业岗位推荐，求职“绿色通道”等。</w:t>
            </w:r>
          </w:p>
          <w:p w14:paraId="772536BF">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2.对于被选为“擂主”团队的获奖者，将提供以下奖励措施：</w:t>
            </w:r>
          </w:p>
          <w:p w14:paraId="58E15194">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优先实习实践机会：为“擂主”团队成员提供优先实习实践的机会，帮助他们提升实践能力。</w:t>
            </w:r>
          </w:p>
          <w:p w14:paraId="210B2746">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优先就业岗位推荐：为“擂主”团队成员提供优先就业岗位推荐的机会，增加他们的就业机会。</w:t>
            </w:r>
          </w:p>
          <w:p w14:paraId="64CA06F5">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产教融合：我们将为获奖团队所在高校提供与企业合作的机会，推动产教融合，促进科技成果转化。</w:t>
            </w:r>
          </w:p>
          <w:p w14:paraId="453846E7">
            <w:pPr>
              <w:widowControl w:val="0"/>
              <w:adjustRightInd w:val="0"/>
              <w:snapToGrid w:val="0"/>
              <w:ind w:firstLine="504" w:firstLineChars="200"/>
              <w:jc w:val="both"/>
              <w:rPr>
                <w:rFonts w:hint="eastAsia" w:ascii="Times New Roman" w:hAnsi="Times New Roman" w:eastAsia="仿宋_GB2312" w:cs="仿宋_GB2312"/>
                <w:b w:val="0"/>
                <w:bCs/>
                <w:spacing w:val="6"/>
                <w:kern w:val="2"/>
                <w:sz w:val="24"/>
                <w:szCs w:val="24"/>
                <w:lang w:val="en-US" w:eastAsia="zh-CN"/>
              </w:rPr>
            </w:pPr>
            <w:r>
              <w:rPr>
                <w:rFonts w:hint="eastAsia" w:ascii="Times New Roman" w:hAnsi="Times New Roman" w:eastAsia="仿宋_GB2312" w:cs="仿宋_GB2312"/>
                <w:b w:val="0"/>
                <w:bCs/>
                <w:spacing w:val="6"/>
                <w:kern w:val="2"/>
                <w:sz w:val="24"/>
                <w:szCs w:val="24"/>
                <w:lang w:val="en-US" w:eastAsia="zh-CN"/>
              </w:rPr>
              <w:t>专属成果孵化政策：为“擂主”团队提供专属的成果孵化政策，支持他们将获奖项目转化为实际产品和服务。</w:t>
            </w:r>
          </w:p>
        </w:tc>
      </w:tr>
    </w:tbl>
    <w:p w14:paraId="2609EC72">
      <w:pPr>
        <w:spacing w:before="108" w:line="220" w:lineRule="auto"/>
        <w:outlineLvl w:val="1"/>
        <w:rPr>
          <w:rFonts w:hint="eastAsia" w:ascii="黑体" w:hAnsi="黑体" w:eastAsia="黑体" w:cs="黑体"/>
          <w:b w:val="0"/>
          <w:bCs w:val="0"/>
          <w:sz w:val="32"/>
          <w:szCs w:val="32"/>
        </w:rPr>
      </w:pPr>
      <w:r>
        <w:rPr>
          <w:rFonts w:hint="eastAsia" w:ascii="黑体" w:hAnsi="黑体" w:eastAsia="黑体" w:cs="黑体"/>
          <w:b w:val="0"/>
          <w:bCs w:val="0"/>
          <w:spacing w:val="-3"/>
          <w:sz w:val="32"/>
          <w:szCs w:val="32"/>
        </w:rPr>
        <w:t>四、选题意义</w:t>
      </w:r>
    </w:p>
    <w:p w14:paraId="2AD2F6F2">
      <w:pPr>
        <w:spacing w:line="19" w:lineRule="auto"/>
        <w:rPr>
          <w:rFonts w:ascii="Arial"/>
          <w:sz w:val="2"/>
        </w:rPr>
      </w:pPr>
    </w:p>
    <w:tbl>
      <w:tblPr>
        <w:tblStyle w:val="27"/>
        <w:tblW w:w="8469" w:type="dxa"/>
        <w:tblInd w:w="1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22"/>
        <w:gridCol w:w="6647"/>
      </w:tblGrid>
      <w:tr w14:paraId="01CE6A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0" w:hRule="atLeast"/>
        </w:trPr>
        <w:tc>
          <w:tcPr>
            <w:tcW w:w="1822" w:type="dxa"/>
            <w:vAlign w:val="center"/>
          </w:tcPr>
          <w:p w14:paraId="609E022F">
            <w:pPr>
              <w:pStyle w:val="28"/>
              <w:spacing w:before="81" w:line="219" w:lineRule="auto"/>
              <w:jc w:val="center"/>
              <w:rPr>
                <w:rFonts w:hint="eastAsia" w:ascii="楷体_GB2312" w:hAnsi="楷体_GB2312" w:eastAsia="楷体_GB2312" w:cs="楷体_GB2312"/>
                <w:sz w:val="28"/>
                <w:szCs w:val="28"/>
              </w:rPr>
            </w:pPr>
            <w:r>
              <w:rPr>
                <w:rFonts w:hint="eastAsia" w:ascii="楷体_GB2312" w:hAnsi="楷体_GB2312" w:eastAsia="楷体_GB2312" w:cs="楷体_GB2312"/>
                <w:spacing w:val="3"/>
                <w:sz w:val="28"/>
                <w:szCs w:val="28"/>
              </w:rPr>
              <w:t>技术意义</w:t>
            </w:r>
          </w:p>
        </w:tc>
        <w:tc>
          <w:tcPr>
            <w:tcW w:w="6647" w:type="dxa"/>
            <w:vAlign w:val="top"/>
          </w:tcPr>
          <w:p w14:paraId="5E56E451">
            <w:pPr>
              <w:pStyle w:val="28"/>
              <w:spacing w:before="89" w:line="229" w:lineRule="auto"/>
              <w:ind w:left="22" w:right="50" w:firstLine="520"/>
              <w:jc w:val="both"/>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智能网联汽车已成为全球汽车产业发展的战略方</w:t>
            </w:r>
            <w:r>
              <w:rPr>
                <w:rFonts w:hint="eastAsia" w:ascii="仿宋_GB2312" w:hAnsi="仿宋_GB2312" w:eastAsia="仿宋_GB2312" w:cs="仿宋_GB2312"/>
                <w:sz w:val="24"/>
                <w:szCs w:val="24"/>
              </w:rPr>
              <w:t xml:space="preserve">向，同 </w:t>
            </w:r>
            <w:r>
              <w:rPr>
                <w:rFonts w:hint="eastAsia" w:ascii="仿宋_GB2312" w:hAnsi="仿宋_GB2312" w:eastAsia="仿宋_GB2312" w:cs="仿宋_GB2312"/>
                <w:spacing w:val="2"/>
                <w:sz w:val="24"/>
                <w:szCs w:val="24"/>
              </w:rPr>
              <w:t>时也是我国汽车强国建设的战略选择。安全是智能网</w:t>
            </w:r>
            <w:r>
              <w:rPr>
                <w:rFonts w:hint="eastAsia" w:ascii="仿宋_GB2312" w:hAnsi="仿宋_GB2312" w:eastAsia="仿宋_GB2312" w:cs="仿宋_GB2312"/>
                <w:spacing w:val="1"/>
                <w:sz w:val="24"/>
                <w:szCs w:val="24"/>
              </w:rPr>
              <w:t>联汽车</w:t>
            </w:r>
            <w:r>
              <w:rPr>
                <w:rFonts w:hint="eastAsia" w:ascii="仿宋_GB2312" w:hAnsi="仿宋_GB2312" w:eastAsia="仿宋_GB2312" w:cs="仿宋_GB2312"/>
                <w:sz w:val="24"/>
                <w:szCs w:val="24"/>
              </w:rPr>
              <w:t xml:space="preserve"> </w:t>
            </w:r>
            <w:r>
              <w:rPr>
                <w:rFonts w:hint="eastAsia" w:ascii="仿宋_GB2312" w:hAnsi="仿宋_GB2312" w:eastAsia="仿宋_GB2312" w:cs="仿宋_GB2312"/>
                <w:spacing w:val="2"/>
                <w:sz w:val="24"/>
                <w:szCs w:val="24"/>
              </w:rPr>
              <w:t>大规模商业化应用面临的最大挑战，智能网联汽车在</w:t>
            </w:r>
            <w:r>
              <w:rPr>
                <w:rFonts w:hint="eastAsia" w:ascii="仿宋_GB2312" w:hAnsi="仿宋_GB2312" w:eastAsia="仿宋_GB2312" w:cs="仿宋_GB2312"/>
                <w:spacing w:val="1"/>
                <w:sz w:val="24"/>
                <w:szCs w:val="24"/>
              </w:rPr>
              <w:t>复杂交</w:t>
            </w:r>
            <w:r>
              <w:rPr>
                <w:rFonts w:hint="eastAsia" w:ascii="仿宋_GB2312" w:hAnsi="仿宋_GB2312" w:eastAsia="仿宋_GB2312" w:cs="仿宋_GB2312"/>
                <w:sz w:val="24"/>
                <w:szCs w:val="24"/>
              </w:rPr>
              <w:t xml:space="preserve"> </w:t>
            </w:r>
            <w:r>
              <w:rPr>
                <w:rFonts w:hint="eastAsia" w:ascii="仿宋_GB2312" w:hAnsi="仿宋_GB2312" w:eastAsia="仿宋_GB2312" w:cs="仿宋_GB2312"/>
                <w:spacing w:val="2"/>
                <w:sz w:val="24"/>
                <w:szCs w:val="24"/>
              </w:rPr>
              <w:t>通场景下可能出现因安全问题导致的严重事故，威胁交</w:t>
            </w:r>
            <w:r>
              <w:rPr>
                <w:rFonts w:hint="eastAsia" w:ascii="仿宋_GB2312" w:hAnsi="仿宋_GB2312" w:eastAsia="仿宋_GB2312" w:cs="仿宋_GB2312"/>
                <w:spacing w:val="1"/>
                <w:sz w:val="24"/>
                <w:szCs w:val="24"/>
              </w:rPr>
              <w:t>通参</w:t>
            </w:r>
            <w:r>
              <w:rPr>
                <w:rFonts w:hint="eastAsia" w:ascii="仿宋_GB2312" w:hAnsi="仿宋_GB2312" w:eastAsia="仿宋_GB2312" w:cs="仿宋_GB2312"/>
                <w:sz w:val="24"/>
                <w:szCs w:val="24"/>
              </w:rPr>
              <w:t xml:space="preserve"> </w:t>
            </w:r>
            <w:r>
              <w:rPr>
                <w:rFonts w:hint="eastAsia" w:ascii="仿宋_GB2312" w:hAnsi="仿宋_GB2312" w:eastAsia="仿宋_GB2312" w:cs="仿宋_GB2312"/>
                <w:spacing w:val="2"/>
                <w:sz w:val="24"/>
                <w:szCs w:val="24"/>
              </w:rPr>
              <w:t>与者生命财产安全。选题聚焦智能网联汽车与人工智</w:t>
            </w:r>
            <w:r>
              <w:rPr>
                <w:rFonts w:hint="eastAsia" w:ascii="仿宋_GB2312" w:hAnsi="仿宋_GB2312" w:eastAsia="仿宋_GB2312" w:cs="仿宋_GB2312"/>
                <w:spacing w:val="1"/>
                <w:sz w:val="24"/>
                <w:szCs w:val="24"/>
              </w:rPr>
              <w:t>能结合</w:t>
            </w:r>
            <w:r>
              <w:rPr>
                <w:rFonts w:hint="eastAsia" w:ascii="仿宋_GB2312" w:hAnsi="仿宋_GB2312" w:eastAsia="仿宋_GB2312" w:cs="仿宋_GB2312"/>
                <w:sz w:val="24"/>
                <w:szCs w:val="24"/>
              </w:rPr>
              <w:t xml:space="preserve"> </w:t>
            </w:r>
            <w:r>
              <w:rPr>
                <w:rFonts w:hint="eastAsia" w:ascii="仿宋_GB2312" w:hAnsi="仿宋_GB2312" w:eastAsia="仿宋_GB2312" w:cs="仿宋_GB2312"/>
                <w:spacing w:val="2"/>
                <w:sz w:val="24"/>
                <w:szCs w:val="24"/>
              </w:rPr>
              <w:t>方向，通过构建智能网联汽车安全监测专用大模型，赋能智</w:t>
            </w:r>
            <w:r>
              <w:rPr>
                <w:rFonts w:hint="eastAsia" w:ascii="仿宋_GB2312" w:hAnsi="仿宋_GB2312" w:eastAsia="仿宋_GB2312" w:cs="仿宋_GB2312"/>
                <w:spacing w:val="10"/>
                <w:sz w:val="24"/>
                <w:szCs w:val="24"/>
              </w:rPr>
              <w:t xml:space="preserve"> </w:t>
            </w:r>
            <w:r>
              <w:rPr>
                <w:rFonts w:hint="eastAsia" w:ascii="仿宋_GB2312" w:hAnsi="仿宋_GB2312" w:eastAsia="仿宋_GB2312" w:cs="仿宋_GB2312"/>
                <w:spacing w:val="2"/>
                <w:sz w:val="24"/>
                <w:szCs w:val="24"/>
              </w:rPr>
              <w:t>能网联汽车全场景运行安全，对于突破智能网联汽车安全核</w:t>
            </w:r>
            <w:r>
              <w:rPr>
                <w:rFonts w:hint="eastAsia" w:ascii="仿宋_GB2312" w:hAnsi="仿宋_GB2312" w:eastAsia="仿宋_GB2312" w:cs="仿宋_GB2312"/>
                <w:spacing w:val="1"/>
                <w:sz w:val="24"/>
                <w:szCs w:val="24"/>
              </w:rPr>
              <w:t xml:space="preserve"> </w:t>
            </w:r>
            <w:r>
              <w:rPr>
                <w:rFonts w:hint="eastAsia" w:ascii="仿宋_GB2312" w:hAnsi="仿宋_GB2312" w:eastAsia="仿宋_GB2312" w:cs="仿宋_GB2312"/>
                <w:spacing w:val="-1"/>
                <w:sz w:val="24"/>
                <w:szCs w:val="24"/>
              </w:rPr>
              <w:t>心技术、提升智能网联汽车技术水平具有重要意义。</w:t>
            </w:r>
          </w:p>
        </w:tc>
      </w:tr>
      <w:tr w14:paraId="7B238F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80" w:hRule="atLeast"/>
        </w:trPr>
        <w:tc>
          <w:tcPr>
            <w:tcW w:w="1822" w:type="dxa"/>
            <w:vAlign w:val="center"/>
          </w:tcPr>
          <w:p w14:paraId="342DA7DD">
            <w:pPr>
              <w:pStyle w:val="28"/>
              <w:spacing w:before="81" w:line="219" w:lineRule="auto"/>
              <w:jc w:val="center"/>
              <w:rPr>
                <w:rFonts w:hint="eastAsia" w:ascii="楷体_GB2312" w:hAnsi="楷体_GB2312" w:eastAsia="楷体_GB2312" w:cs="楷体_GB2312"/>
                <w:spacing w:val="3"/>
                <w:sz w:val="28"/>
                <w:szCs w:val="28"/>
              </w:rPr>
            </w:pPr>
            <w:r>
              <w:rPr>
                <w:rFonts w:hint="eastAsia" w:ascii="楷体_GB2312" w:hAnsi="楷体_GB2312" w:eastAsia="楷体_GB2312" w:cs="楷体_GB2312"/>
                <w:spacing w:val="1"/>
                <w:sz w:val="28"/>
                <w:szCs w:val="28"/>
              </w:rPr>
              <w:t>经济社会效益</w:t>
            </w:r>
          </w:p>
        </w:tc>
        <w:tc>
          <w:tcPr>
            <w:tcW w:w="6647" w:type="dxa"/>
            <w:vAlign w:val="top"/>
          </w:tcPr>
          <w:p w14:paraId="545ED344">
            <w:pPr>
              <w:pStyle w:val="28"/>
              <w:spacing w:before="89" w:line="229" w:lineRule="auto"/>
              <w:ind w:left="22" w:right="50" w:firstLine="520"/>
              <w:jc w:val="both"/>
              <w:rPr>
                <w:rFonts w:hint="eastAsia" w:ascii="仿宋_GB2312" w:hAnsi="仿宋_GB2312" w:eastAsia="仿宋_GB2312" w:cs="仿宋_GB2312"/>
                <w:spacing w:val="1"/>
                <w:sz w:val="24"/>
                <w:szCs w:val="24"/>
              </w:rPr>
            </w:pPr>
            <w:r>
              <w:rPr>
                <w:rFonts w:hint="eastAsia" w:ascii="仿宋_GB2312" w:hAnsi="仿宋_GB2312" w:eastAsia="仿宋_GB2312" w:cs="仿宋_GB2312"/>
                <w:sz w:val="24"/>
                <w:szCs w:val="24"/>
              </w:rPr>
              <w:t xml:space="preserve">汽车是我国国民经济支柱产业、是科技创新的主战场， </w:t>
            </w:r>
            <w:r>
              <w:rPr>
                <w:rFonts w:hint="eastAsia" w:ascii="仿宋_GB2312" w:hAnsi="仿宋_GB2312" w:eastAsia="仿宋_GB2312" w:cs="仿宋_GB2312"/>
                <w:spacing w:val="-1"/>
                <w:sz w:val="24"/>
                <w:szCs w:val="24"/>
              </w:rPr>
              <w:t>项目选题围绕智能网联汽车+人工智能开展创新研究与突破，</w:t>
            </w:r>
            <w:r>
              <w:rPr>
                <w:rFonts w:hint="eastAsia" w:ascii="仿宋_GB2312" w:hAnsi="仿宋_GB2312" w:eastAsia="仿宋_GB2312" w:cs="仿宋_GB2312"/>
                <w:spacing w:val="16"/>
                <w:sz w:val="24"/>
                <w:szCs w:val="24"/>
              </w:rPr>
              <w:t xml:space="preserve"> </w:t>
            </w:r>
            <w:r>
              <w:rPr>
                <w:rFonts w:hint="eastAsia" w:ascii="仿宋_GB2312" w:hAnsi="仿宋_GB2312" w:eastAsia="仿宋_GB2312" w:cs="仿宋_GB2312"/>
                <w:spacing w:val="-4"/>
                <w:sz w:val="24"/>
                <w:szCs w:val="24"/>
              </w:rPr>
              <w:t>对于促进智能网联汽车开展大规模商业化应用、保障交</w:t>
            </w:r>
            <w:r>
              <w:rPr>
                <w:rFonts w:hint="eastAsia" w:ascii="仿宋_GB2312" w:hAnsi="仿宋_GB2312" w:eastAsia="仿宋_GB2312" w:cs="仿宋_GB2312"/>
                <w:spacing w:val="-5"/>
                <w:sz w:val="24"/>
                <w:szCs w:val="24"/>
              </w:rPr>
              <w:t>通运</w:t>
            </w:r>
            <w:r>
              <w:rPr>
                <w:rFonts w:hint="eastAsia" w:ascii="仿宋_GB2312" w:hAnsi="仿宋_GB2312" w:eastAsia="仿宋_GB2312" w:cs="仿宋_GB2312"/>
                <w:sz w:val="24"/>
                <w:szCs w:val="24"/>
              </w:rPr>
              <w:t xml:space="preserve">  </w:t>
            </w:r>
            <w:r>
              <w:rPr>
                <w:rFonts w:hint="eastAsia" w:ascii="仿宋_GB2312" w:hAnsi="仿宋_GB2312" w:eastAsia="仿宋_GB2312" w:cs="仿宋_GB2312"/>
                <w:spacing w:val="-5"/>
                <w:sz w:val="24"/>
                <w:szCs w:val="24"/>
              </w:rPr>
              <w:t>输系统安全具有重要意义，将为我国汽车核心技术自立自强、</w:t>
            </w:r>
            <w:r>
              <w:rPr>
                <w:rFonts w:hint="eastAsia" w:ascii="仿宋_GB2312" w:hAnsi="仿宋_GB2312" w:eastAsia="仿宋_GB2312" w:cs="仿宋_GB2312"/>
                <w:sz w:val="24"/>
                <w:szCs w:val="24"/>
              </w:rPr>
              <w:t xml:space="preserve"> </w:t>
            </w:r>
            <w:r>
              <w:rPr>
                <w:rFonts w:hint="eastAsia" w:ascii="仿宋_GB2312" w:hAnsi="仿宋_GB2312" w:eastAsia="仿宋_GB2312" w:cs="仿宋_GB2312"/>
                <w:spacing w:val="-5"/>
                <w:sz w:val="24"/>
                <w:szCs w:val="24"/>
              </w:rPr>
              <w:t>产业安全高质量发展提供重要支撑。</w:t>
            </w:r>
          </w:p>
        </w:tc>
      </w:tr>
    </w:tbl>
    <w:p w14:paraId="4A188078">
      <w:pPr>
        <w:rPr>
          <w:rFonts w:ascii="楷体" w:hAnsi="楷体" w:eastAsia="楷体" w:cs="楷体"/>
          <w:spacing w:val="8"/>
          <w:sz w:val="23"/>
          <w:szCs w:val="23"/>
        </w:rPr>
      </w:pPr>
      <w:r>
        <w:rPr>
          <w:rFonts w:ascii="楷体" w:hAnsi="楷体" w:eastAsia="楷体" w:cs="楷体"/>
          <w:spacing w:val="8"/>
          <w:sz w:val="23"/>
          <w:szCs w:val="23"/>
        </w:rPr>
        <w:br w:type="page"/>
      </w:r>
    </w:p>
    <w:p w14:paraId="18F4C2C8">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“青智未来”新质生产力</w:t>
      </w:r>
      <w:r>
        <w:rPr>
          <w:rFonts w:hint="default" w:ascii="Times New Roman" w:hAnsi="Times New Roman" w:eastAsia="方正小标宋简体" w:cs="Times New Roman"/>
          <w:b w:val="0"/>
          <w:bCs/>
          <w:kern w:val="2"/>
          <w:sz w:val="44"/>
          <w:szCs w:val="32"/>
          <w:highlight w:val="none"/>
          <w:lang w:val="en-US" w:eastAsia="zh-CN"/>
        </w:rPr>
        <w:t>专项赛</w:t>
      </w:r>
    </w:p>
    <w:p w14:paraId="4D14414D">
      <w:pPr>
        <w:keepNext w:val="0"/>
        <w:keepLines w:val="0"/>
        <w:pageBreakBefore w:val="0"/>
        <w:widowControl w:val="0"/>
        <w:tabs>
          <w:tab w:val="left" w:pos="8640"/>
        </w:tabs>
        <w:kinsoku/>
        <w:wordWrap w:val="0"/>
        <w:topLinePunct w:val="0"/>
        <w:autoSpaceDE/>
        <w:autoSpaceDN/>
        <w:bidi w:val="0"/>
        <w:adjustRightInd w:val="0"/>
        <w:snapToGrid w:val="0"/>
        <w:spacing w:line="560" w:lineRule="exact"/>
        <w:jc w:val="center"/>
        <w:rPr>
          <w:rFonts w:hint="default" w:ascii="Times New Roman" w:hAnsi="Times New Roman" w:eastAsia="方正小标宋简体" w:cs="Times New Roman"/>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—0</w:t>
      </w:r>
      <w:r>
        <w:rPr>
          <w:rFonts w:hint="eastAsia" w:eastAsia="方正小标宋简体" w:cs="方正小标宋简体"/>
          <w:b w:val="0"/>
          <w:bCs/>
          <w:kern w:val="2"/>
          <w:sz w:val="44"/>
          <w:szCs w:val="32"/>
          <w:highlight w:val="none"/>
          <w:lang w:val="en-US" w:eastAsia="zh-CN"/>
        </w:rPr>
        <w:t>7</w:t>
      </w:r>
    </w:p>
    <w:p w14:paraId="4C472EF1">
      <w:pPr>
        <w:keepNext w:val="0"/>
        <w:keepLines w:val="0"/>
        <w:pageBreakBefore w:val="0"/>
        <w:widowControl w:val="0"/>
        <w:tabs>
          <w:tab w:val="left" w:pos="8640"/>
        </w:tabs>
        <w:kinsoku/>
        <w:wordWrap w:val="0"/>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b w:val="0"/>
          <w:bCs/>
          <w:kern w:val="2"/>
          <w:sz w:val="32"/>
          <w:szCs w:val="22"/>
          <w:highlight w:val="none"/>
          <w:lang w:val="en-US" w:eastAsia="zh-CN"/>
        </w:rPr>
      </w:pPr>
    </w:p>
    <w:p w14:paraId="59F32B1E">
      <w:pPr>
        <w:tabs>
          <w:tab w:val="left" w:pos="8640"/>
        </w:tabs>
        <w:adjustRightInd w:val="0"/>
        <w:snapToGrid w:val="0"/>
        <w:spacing w:line="560" w:lineRule="exact"/>
        <w:rPr>
          <w:rFonts w:hint="eastAsia" w:ascii="方正楷体简体" w:hAnsi="方正楷体简体" w:eastAsia="方正楷体简体" w:cs="方正楷体简体"/>
          <w:bCs/>
          <w:spacing w:val="6"/>
        </w:rPr>
      </w:pPr>
      <w:r>
        <w:rPr>
          <w:rFonts w:hint="eastAsia" w:ascii="方正黑体简体" w:hAnsi="Times New Roman" w:eastAsia="方正黑体简体" w:cs="Times New Roman"/>
          <w:bCs/>
          <w:spacing w:val="6"/>
          <w:sz w:val="32"/>
          <w:szCs w:val="32"/>
        </w:rPr>
        <w:t>一、</w:t>
      </w:r>
      <w:r>
        <w:rPr>
          <w:rFonts w:hint="eastAsia" w:ascii="方正黑体简体" w:hAnsi="Times New Roman" w:eastAsia="方正黑体简体" w:cs="Times New Roman"/>
          <w:bCs/>
          <w:spacing w:val="6"/>
          <w:sz w:val="32"/>
          <w:szCs w:val="32"/>
          <w:highlight w:val="none"/>
        </w:rPr>
        <w:t>单位信息</w:t>
      </w:r>
    </w:p>
    <w:tbl>
      <w:tblPr>
        <w:tblStyle w:val="11"/>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7622C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25862FE8">
            <w:pPr>
              <w:adjustRightInd w:val="0"/>
              <w:snapToGrid/>
              <w:spacing w:line="560" w:lineRule="exact"/>
              <w:jc w:val="center"/>
              <w:rPr>
                <w:rFonts w:hint="eastAsia" w:ascii="楷体_GB2312" w:hAnsi="楷体_GB2312" w:eastAsia="楷体_GB2312" w:cs="楷体_GB2312"/>
                <w:sz w:val="28"/>
                <w:szCs w:val="32"/>
              </w:rPr>
            </w:pPr>
            <w:r>
              <w:rPr>
                <w:rFonts w:hint="eastAsia" w:ascii="楷体_GB2312" w:hAnsi="楷体_GB2312" w:eastAsia="楷体_GB2312" w:cs="楷体_GB2312"/>
                <w:sz w:val="28"/>
                <w:szCs w:val="32"/>
              </w:rPr>
              <w:t>单位名称</w:t>
            </w:r>
          </w:p>
        </w:tc>
        <w:tc>
          <w:tcPr>
            <w:tcW w:w="6932" w:type="dxa"/>
            <w:gridSpan w:val="3"/>
            <w:vAlign w:val="center"/>
          </w:tcPr>
          <w:p w14:paraId="18BEF93F">
            <w:pPr>
              <w:adjustRightInd w:val="0"/>
              <w:snapToGrid w:val="0"/>
              <w:jc w:val="center"/>
              <w:rPr>
                <w:rFonts w:hint="eastAsia" w:ascii="仿宋_GB2312" w:hAnsi="仿宋_GB2312" w:eastAsia="仿宋_GB2312" w:cs="仿宋_GB2312"/>
              </w:rPr>
            </w:pPr>
            <w:r>
              <w:rPr>
                <w:rFonts w:ascii="仿宋_GB2312" w:hAnsi="仿宋_GB2312" w:eastAsia="仿宋_GB2312" w:cs="仿宋_GB2312"/>
              </w:rPr>
              <w:t>中国移动通信集团北京有限公司</w:t>
            </w:r>
          </w:p>
        </w:tc>
      </w:tr>
      <w:tr w14:paraId="211FB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72EE4454">
            <w:pPr>
              <w:adjustRightInd w:val="0"/>
              <w:snapToGrid w:val="0"/>
              <w:jc w:val="center"/>
              <w:rPr>
                <w:rFonts w:hint="eastAsia" w:ascii="楷体_GB2312" w:hAnsi="楷体_GB2312" w:eastAsia="楷体_GB2312" w:cs="楷体_GB2312"/>
                <w:bCs/>
                <w:spacing w:val="6"/>
                <w:szCs w:val="28"/>
                <w:lang w:val="en-US"/>
              </w:rPr>
            </w:pPr>
            <w:r>
              <w:rPr>
                <w:rFonts w:hint="eastAsia" w:ascii="楷体_GB2312" w:hAnsi="楷体_GB2312" w:eastAsia="楷体_GB2312" w:cs="楷体_GB2312"/>
                <w:sz w:val="28"/>
                <w:szCs w:val="32"/>
                <w:lang w:val="en-US"/>
              </w:rPr>
              <w:t>单位类型</w:t>
            </w:r>
          </w:p>
        </w:tc>
        <w:tc>
          <w:tcPr>
            <w:tcW w:w="6932" w:type="dxa"/>
            <w:gridSpan w:val="3"/>
            <w:vAlign w:val="center"/>
          </w:tcPr>
          <w:p w14:paraId="1E0B0AFF">
            <w:pPr>
              <w:adjustRightInd w:val="0"/>
              <w:snapToGrid w:val="0"/>
              <w:jc w:val="center"/>
              <w:rPr>
                <w:rFonts w:hint="eastAsia" w:ascii="仿宋_GB2312" w:hAnsi="仿宋_GB2312" w:eastAsia="仿宋_GB2312" w:cs="仿宋_GB2312"/>
                <w:bCs/>
                <w:spacing w:val="6"/>
                <w:szCs w:val="28"/>
                <w:lang w:val="en-US"/>
              </w:rPr>
            </w:pPr>
            <w:r>
              <w:rPr>
                <w:rFonts w:hint="eastAsia" w:ascii="仿宋_GB2312" w:hAnsi="仿宋_GB2312" w:eastAsia="仿宋_GB2312" w:cs="仿宋_GB2312"/>
                <w:bCs/>
                <w:spacing w:val="6"/>
                <w:szCs w:val="28"/>
                <w:lang w:val="en-US"/>
              </w:rPr>
              <w:t>中央企业</w:t>
            </w:r>
          </w:p>
        </w:tc>
      </w:tr>
      <w:tr w14:paraId="3699E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2574BEB8">
            <w:pPr>
              <w:adjustRightInd w:val="0"/>
              <w:snapToGrid/>
              <w:spacing w:line="560" w:lineRule="exact"/>
              <w:jc w:val="center"/>
              <w:rPr>
                <w:rFonts w:hint="eastAsia" w:ascii="楷体_GB2312" w:hAnsi="楷体_GB2312" w:eastAsia="楷体_GB2312" w:cs="楷体_GB2312"/>
                <w:sz w:val="28"/>
                <w:szCs w:val="32"/>
              </w:rPr>
            </w:pPr>
            <w:r>
              <w:rPr>
                <w:rFonts w:hint="eastAsia" w:ascii="楷体_GB2312" w:hAnsi="楷体_GB2312" w:eastAsia="楷体_GB2312" w:cs="楷体_GB2312"/>
                <w:sz w:val="28"/>
                <w:szCs w:val="32"/>
              </w:rPr>
              <w:t>地址</w:t>
            </w:r>
          </w:p>
        </w:tc>
        <w:tc>
          <w:tcPr>
            <w:tcW w:w="6932" w:type="dxa"/>
            <w:gridSpan w:val="3"/>
            <w:vAlign w:val="center"/>
          </w:tcPr>
          <w:p w14:paraId="709E753E">
            <w:pPr>
              <w:adjustRightInd w:val="0"/>
              <w:snapToGrid/>
              <w:jc w:val="center"/>
              <w:rPr>
                <w:rFonts w:hint="eastAsia" w:ascii="仿宋_GB2312" w:hAnsi="仿宋_GB2312" w:eastAsia="仿宋_GB2312" w:cs="仿宋_GB2312"/>
              </w:rPr>
            </w:pPr>
            <w:r>
              <w:rPr>
                <w:rFonts w:hint="eastAsia" w:ascii="仿宋_GB2312" w:hAnsi="仿宋_GB2312" w:eastAsia="仿宋_GB2312" w:cs="仿宋_GB2312"/>
              </w:rPr>
              <w:t>东直门南大街7号</w:t>
            </w:r>
          </w:p>
        </w:tc>
      </w:tr>
      <w:tr w14:paraId="12B7E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60460E14">
            <w:pPr>
              <w:adjustRightInd w:val="0"/>
              <w:snapToGrid/>
              <w:spacing w:line="560" w:lineRule="exact"/>
              <w:jc w:val="center"/>
              <w:rPr>
                <w:rFonts w:hint="eastAsia" w:ascii="楷体_GB2312" w:hAnsi="楷体_GB2312" w:eastAsia="楷体_GB2312" w:cs="楷体_GB2312"/>
                <w:sz w:val="28"/>
                <w:szCs w:val="32"/>
              </w:rPr>
            </w:pPr>
            <w:r>
              <w:rPr>
                <w:rFonts w:hint="eastAsia" w:ascii="楷体_GB2312" w:hAnsi="楷体_GB2312" w:eastAsia="楷体_GB2312" w:cs="楷体_GB2312"/>
                <w:sz w:val="28"/>
                <w:szCs w:val="32"/>
                <w:lang w:val="en-US"/>
              </w:rPr>
              <w:t>单位</w:t>
            </w:r>
            <w:r>
              <w:rPr>
                <w:rFonts w:hint="eastAsia" w:ascii="楷体_GB2312" w:hAnsi="楷体_GB2312" w:eastAsia="楷体_GB2312" w:cs="楷体_GB2312"/>
                <w:sz w:val="28"/>
                <w:szCs w:val="32"/>
              </w:rPr>
              <w:t>简介</w:t>
            </w:r>
          </w:p>
        </w:tc>
        <w:tc>
          <w:tcPr>
            <w:tcW w:w="6932" w:type="dxa"/>
            <w:gridSpan w:val="3"/>
            <w:vAlign w:val="center"/>
          </w:tcPr>
          <w:p w14:paraId="03B8ADFF">
            <w:pPr>
              <w:adjustRightInd w:val="0"/>
              <w:snapToGrid w:val="0"/>
              <w:jc w:val="both"/>
              <w:rPr>
                <w:rFonts w:hint="eastAsia" w:ascii="仿宋_GB2312" w:hAnsi="仿宋_GB2312" w:eastAsia="仿宋_GB2312" w:cs="仿宋_GB2312"/>
                <w:bCs/>
                <w:spacing w:val="6"/>
                <w:szCs w:val="28"/>
              </w:rPr>
            </w:pPr>
            <w:r>
              <w:rPr>
                <w:rFonts w:hint="eastAsia" w:ascii="仿宋_GB2312" w:hAnsi="仿宋_GB2312" w:eastAsia="仿宋_GB2312" w:cs="仿宋_GB2312"/>
                <w:bCs/>
                <w:spacing w:val="6"/>
                <w:szCs w:val="28"/>
              </w:rPr>
              <w:t>中国移动通信集团北京有限公司隶属于中国移动通信集团公司，于1999年8月28日注册成立，主要经营移动话音、数据等基础通信业务及新型信息服务。中国移动北京公司移动通信网络质量和信息服务能力处于行业领先水平，在首都信息化发展进程中，始终发挥着主导作用。经过几年的跨越式发展，中国移动北京公司已经建成一个覆盖范围广、通信质量高、业务品种丰富、服务水平一流的综合信息服务网络。</w:t>
            </w:r>
          </w:p>
        </w:tc>
      </w:tr>
      <w:tr w14:paraId="453A4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5F4BBE86">
            <w:pPr>
              <w:adjustRightInd w:val="0"/>
              <w:snapToGrid w:val="0"/>
              <w:ind w:firstLine="280" w:firstLineChars="100"/>
              <w:jc w:val="both"/>
              <w:rPr>
                <w:rFonts w:hint="eastAsia" w:ascii="楷体_GB2312" w:hAnsi="楷体_GB2312" w:eastAsia="楷体_GB2312" w:cs="楷体_GB2312"/>
                <w:bCs/>
                <w:spacing w:val="6"/>
                <w:szCs w:val="28"/>
              </w:rPr>
            </w:pPr>
            <w:r>
              <w:rPr>
                <w:rFonts w:hint="eastAsia" w:ascii="楷体_GB2312" w:hAnsi="楷体_GB2312" w:eastAsia="楷体_GB2312" w:cs="楷体_GB2312"/>
                <w:sz w:val="28"/>
                <w:szCs w:val="32"/>
                <w:lang w:val="en-US"/>
              </w:rPr>
              <w:t>联系人</w:t>
            </w:r>
          </w:p>
        </w:tc>
        <w:tc>
          <w:tcPr>
            <w:tcW w:w="3076" w:type="dxa"/>
            <w:vAlign w:val="center"/>
          </w:tcPr>
          <w:p w14:paraId="6BFE7F2D">
            <w:pPr>
              <w:adjustRightInd w:val="0"/>
              <w:snapToGrid w:val="0"/>
              <w:jc w:val="center"/>
              <w:rPr>
                <w:rFonts w:hint="eastAsia" w:ascii="仿宋_GB2312" w:hAnsi="仿宋_GB2312" w:eastAsia="仿宋_GB2312" w:cs="仿宋_GB2312"/>
                <w:bCs/>
                <w:spacing w:val="6"/>
                <w:szCs w:val="28"/>
                <w:lang w:val="en-US"/>
              </w:rPr>
            </w:pPr>
            <w:r>
              <w:rPr>
                <w:rFonts w:hint="eastAsia" w:ascii="仿宋_GB2312" w:hAnsi="仿宋_GB2312" w:eastAsia="仿宋_GB2312" w:cs="仿宋_GB2312"/>
                <w:bCs/>
                <w:spacing w:val="6"/>
                <w:szCs w:val="28"/>
                <w:lang w:val="en-US"/>
              </w:rPr>
              <w:t>赵 澍</w:t>
            </w:r>
          </w:p>
        </w:tc>
        <w:tc>
          <w:tcPr>
            <w:tcW w:w="1073" w:type="dxa"/>
            <w:vAlign w:val="center"/>
          </w:tcPr>
          <w:p w14:paraId="263AC961">
            <w:pPr>
              <w:adjustRightInd w:val="0"/>
              <w:snapToGrid/>
              <w:spacing w:line="560" w:lineRule="exact"/>
              <w:jc w:val="center"/>
              <w:rPr>
                <w:rFonts w:hint="eastAsia" w:ascii="楷体_GB2312" w:hAnsi="楷体_GB2312" w:eastAsia="楷体_GB2312" w:cs="楷体_GB2312"/>
                <w:sz w:val="28"/>
                <w:szCs w:val="32"/>
              </w:rPr>
            </w:pPr>
            <w:r>
              <w:rPr>
                <w:rFonts w:hint="eastAsia" w:ascii="楷体_GB2312" w:hAnsi="楷体_GB2312" w:eastAsia="楷体_GB2312" w:cs="楷体_GB2312"/>
                <w:sz w:val="28"/>
                <w:szCs w:val="32"/>
              </w:rPr>
              <w:t>职务</w:t>
            </w:r>
          </w:p>
        </w:tc>
        <w:tc>
          <w:tcPr>
            <w:tcW w:w="2783" w:type="dxa"/>
            <w:vAlign w:val="center"/>
          </w:tcPr>
          <w:p w14:paraId="45031D51">
            <w:pPr>
              <w:adjustRightInd w:val="0"/>
              <w:snapToGrid/>
              <w:jc w:val="center"/>
              <w:rPr>
                <w:rFonts w:ascii="Times New Roman" w:hAnsi="Times New Roman" w:eastAsia="方正仿宋简体" w:cs="Times New Roman"/>
              </w:rPr>
            </w:pPr>
            <w:r>
              <w:rPr>
                <w:rFonts w:hint="eastAsia" w:ascii="Times New Roman" w:hAnsi="Times New Roman" w:eastAsia="方正仿宋简体" w:cs="Times New Roman"/>
              </w:rPr>
              <w:t>部门经理</w:t>
            </w:r>
          </w:p>
        </w:tc>
      </w:tr>
      <w:tr w14:paraId="3B615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2AA9B6BA">
            <w:pPr>
              <w:adjustRightInd w:val="0"/>
              <w:snapToGrid w:val="0"/>
              <w:jc w:val="center"/>
              <w:rPr>
                <w:rFonts w:hint="eastAsia" w:ascii="楷体_GB2312" w:hAnsi="楷体_GB2312" w:eastAsia="楷体_GB2312" w:cs="楷体_GB2312"/>
                <w:bCs/>
                <w:spacing w:val="6"/>
                <w:szCs w:val="28"/>
                <w:lang w:val="en-US"/>
              </w:rPr>
            </w:pPr>
            <w:r>
              <w:rPr>
                <w:rFonts w:hint="eastAsia" w:ascii="楷体_GB2312" w:hAnsi="楷体_GB2312" w:eastAsia="楷体_GB2312" w:cs="楷体_GB2312"/>
                <w:sz w:val="28"/>
                <w:szCs w:val="32"/>
                <w:lang w:val="en-US"/>
              </w:rPr>
              <w:t>联系方式</w:t>
            </w:r>
          </w:p>
        </w:tc>
        <w:tc>
          <w:tcPr>
            <w:tcW w:w="3076" w:type="dxa"/>
            <w:vAlign w:val="center"/>
          </w:tcPr>
          <w:p w14:paraId="2771E557">
            <w:pPr>
              <w:adjustRightInd w:val="0"/>
              <w:snapToGrid w:val="0"/>
              <w:jc w:val="center"/>
              <w:rPr>
                <w:rFonts w:hint="eastAsia" w:ascii="仿宋_GB2312" w:hAnsi="仿宋_GB2312" w:eastAsia="仿宋_GB2312" w:cs="仿宋_GB2312"/>
                <w:bCs/>
                <w:spacing w:val="6"/>
                <w:szCs w:val="28"/>
                <w:lang w:val="en-US"/>
              </w:rPr>
            </w:pPr>
            <w:r>
              <w:rPr>
                <w:rFonts w:hint="eastAsia" w:ascii="仿宋_GB2312" w:hAnsi="仿宋_GB2312" w:eastAsia="仿宋_GB2312" w:cs="仿宋_GB2312"/>
                <w:bCs/>
                <w:spacing w:val="6"/>
                <w:szCs w:val="28"/>
                <w:lang w:val="en-US"/>
              </w:rPr>
              <w:t>13488795182</w:t>
            </w:r>
          </w:p>
        </w:tc>
        <w:tc>
          <w:tcPr>
            <w:tcW w:w="1073" w:type="dxa"/>
            <w:vAlign w:val="center"/>
          </w:tcPr>
          <w:p w14:paraId="5141A42A">
            <w:pPr>
              <w:adjustRightInd w:val="0"/>
              <w:snapToGrid/>
              <w:spacing w:line="560" w:lineRule="exact"/>
              <w:jc w:val="center"/>
              <w:rPr>
                <w:rFonts w:hint="eastAsia" w:ascii="楷体_GB2312" w:hAnsi="楷体_GB2312" w:eastAsia="楷体_GB2312" w:cs="楷体_GB2312"/>
                <w:sz w:val="28"/>
                <w:szCs w:val="32"/>
              </w:rPr>
            </w:pPr>
            <w:r>
              <w:rPr>
                <w:rFonts w:hint="eastAsia" w:ascii="楷体_GB2312" w:hAnsi="楷体_GB2312" w:eastAsia="楷体_GB2312" w:cs="楷体_GB2312"/>
                <w:sz w:val="28"/>
                <w:szCs w:val="32"/>
              </w:rPr>
              <w:t>微信</w:t>
            </w:r>
          </w:p>
        </w:tc>
        <w:tc>
          <w:tcPr>
            <w:tcW w:w="2783" w:type="dxa"/>
            <w:vAlign w:val="center"/>
          </w:tcPr>
          <w:p w14:paraId="4D156998">
            <w:pPr>
              <w:adjustRightInd w:val="0"/>
              <w:snapToGrid w:val="0"/>
              <w:jc w:val="center"/>
              <w:rPr>
                <w:rFonts w:ascii="Times New Roman" w:hAnsi="Times New Roman" w:eastAsia="方正仿宋简体" w:cs="Times New Roman"/>
              </w:rPr>
            </w:pPr>
            <w:r>
              <w:rPr>
                <w:rFonts w:hint="eastAsia" w:ascii="仿宋_GB2312" w:hAnsi="仿宋_GB2312" w:eastAsia="仿宋_GB2312" w:cs="仿宋_GB2312"/>
                <w:bCs/>
                <w:spacing w:val="6"/>
                <w:szCs w:val="28"/>
                <w:lang w:val="en-US"/>
              </w:rPr>
              <w:t>jsymm52704555</w:t>
            </w:r>
          </w:p>
        </w:tc>
      </w:tr>
    </w:tbl>
    <w:p w14:paraId="49CB5DA0">
      <w:pPr>
        <w:tabs>
          <w:tab w:val="left" w:pos="8640"/>
        </w:tabs>
        <w:adjustRightInd w:val="0"/>
        <w:snapToGrid w:val="0"/>
        <w:spacing w:line="560" w:lineRule="exact"/>
        <w:rPr>
          <w:rFonts w:ascii="方正黑体简体" w:hAnsi="Times New Roman" w:eastAsia="方正黑体简体" w:cs="Times New Roman"/>
          <w:bCs/>
          <w:spacing w:val="6"/>
          <w:sz w:val="32"/>
          <w:szCs w:val="32"/>
        </w:rPr>
      </w:pPr>
      <w:r>
        <w:rPr>
          <w:rFonts w:hint="eastAsia" w:ascii="方正黑体简体" w:hAnsi="Times New Roman" w:eastAsia="方正黑体简体" w:cs="Times New Roman"/>
          <w:bCs/>
          <w:spacing w:val="6"/>
          <w:sz w:val="32"/>
          <w:szCs w:val="32"/>
        </w:rPr>
        <w:t>二、选题说明</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71CFF4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DA7EF97">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lang w:val="en-US"/>
              </w:rPr>
              <w:t>选题</w:t>
            </w:r>
            <w:r>
              <w:rPr>
                <w:rFonts w:hint="eastAsia" w:ascii="楷体_GB2312" w:hAnsi="楷体_GB2312" w:eastAsia="楷体_GB2312" w:cs="楷体_GB2312"/>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4AA1B35">
            <w:pPr>
              <w:adjustRightInd w:val="0"/>
              <w:snapToGrid w:val="0"/>
              <w:jc w:val="center"/>
              <w:rPr>
                <w:rFonts w:hint="eastAsia" w:ascii="仿宋_GB2312" w:hAnsi="仿宋_GB2312" w:eastAsia="仿宋_GB2312" w:cs="仿宋_GB2312"/>
                <w:color w:val="000000"/>
              </w:rPr>
            </w:pPr>
            <w:r>
              <w:rPr>
                <w:rFonts w:ascii="仿宋_GB2312" w:hAnsi="仿宋_GB2312" w:eastAsia="仿宋_GB2312" w:cs="仿宋_GB2312"/>
                <w:color w:val="000000"/>
              </w:rPr>
              <w:t>警擎：大模型推理增强的智慧警务系统研究</w:t>
            </w:r>
          </w:p>
        </w:tc>
      </w:tr>
      <w:tr w14:paraId="3663CD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402929D">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DC2AA53">
            <w:pPr>
              <w:adjustRightInd w:val="0"/>
              <w:snapToGrid w:val="0"/>
              <w:jc w:val="center"/>
              <w:rPr>
                <w:rFonts w:hint="eastAsia" w:ascii="仿宋_GB2312" w:hAnsi="仿宋_GB2312" w:eastAsia="仿宋_GB2312" w:cs="仿宋_GB2312"/>
                <w:color w:val="000000"/>
              </w:rPr>
            </w:pPr>
            <w:r>
              <w:rPr>
                <w:rFonts w:hint="eastAsia" w:ascii="仿宋_GB2312" w:hAnsi="仿宋_GB2312" w:eastAsia="仿宋_GB2312" w:cs="仿宋_GB2312"/>
                <w:bCs/>
                <w:color w:val="000000"/>
                <w:spacing w:val="6"/>
                <w:szCs w:val="28"/>
                <w:lang w:val="en-US"/>
              </w:rPr>
              <w:t>人工智能</w:t>
            </w:r>
          </w:p>
        </w:tc>
      </w:tr>
      <w:tr w14:paraId="242D16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B199436">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9BAACF2">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在社会治理精细化与警务实战复杂化并行发展的背景下，公安业务正加速由“信息支撑型”向“认知决策型”演进。警务人员需在信息高度非结构化、要素多维且时效要求极高的条件下完成判断与处置，但现有系统多停留在数据展示与规则触发层面，难以支撑复杂语境下的综合研判，逐步暴露出能力瓶颈。</w:t>
            </w:r>
          </w:p>
          <w:p w14:paraId="3989AD76">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当前警务实战主要面临警情理解能力不足、风险评估手段单一以及复杂场景下目标发现与资源利用效率偏低等问题。口语化、非规范的报警信息难以被准确理解与定性，多因素叠加形成的风险难以被稳定刻画，自然语言需求与视频图像资源之间缺乏有效关联，叠加算力与成本限制，制约了实战应用的精准性与规模化开展。</w:t>
            </w:r>
          </w:p>
          <w:p w14:paraId="0C2BC287">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基于上述需求，本命题聚焦构建面向公安核心业务的智能警务认知与决策支撑体系，提升系统对非规范语义和复杂语境的理解能力，融合多源警务信息，支持接处警、布控防控、社会面治理和视频实战等多场景综合研判与辅助决策，并在实时响应与部署成本之间取得平衡，推动警务工作由依赖人工经验的被动响应，向智能理解、辅助决策与闭环反馈并重的实战模式转变，为新质警务战斗力建设提供支撑。</w:t>
            </w:r>
          </w:p>
        </w:tc>
      </w:tr>
      <w:tr w14:paraId="103A6F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29259D1">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F5DCD3D">
            <w:pPr>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参赛团队需围绕智慧警务大模型的实战需求，在确保数据安全与合规的前提下，系统性地完成从多源数据治理到跨模态决策模型构建的全链路方案设计。具体要求如下：</w:t>
            </w:r>
          </w:p>
          <w:p w14:paraId="5C978A08">
            <w:pPr>
              <w:adjustRightInd w:val="0"/>
              <w:snapToGrid w:val="0"/>
              <w:ind w:firstLine="504" w:firstLineChars="200"/>
              <w:rPr>
                <w:rFonts w:hint="eastAsia" w:ascii="仿宋_GB2312" w:hAnsi="仿宋_GB2312" w:eastAsia="仿宋_GB2312" w:cs="仿宋_GB2312"/>
                <w:bCs/>
                <w:color w:val="000000"/>
                <w:spacing w:val="6"/>
                <w:szCs w:val="28"/>
              </w:rPr>
            </w:pPr>
            <w:r>
              <w:rPr>
                <w:rFonts w:ascii="仿宋_GB2312" w:hAnsi="仿宋_GB2312" w:eastAsia="仿宋_GB2312" w:cs="仿宋_GB2312"/>
                <w:bCs/>
                <w:color w:val="000000"/>
                <w:spacing w:val="6"/>
                <w:szCs w:val="28"/>
              </w:rPr>
              <w:t>1.</w:t>
            </w:r>
            <w:r>
              <w:rPr>
                <w:rFonts w:hint="eastAsia" w:ascii="仿宋_GB2312" w:hAnsi="仿宋_GB2312" w:eastAsia="仿宋_GB2312" w:cs="仿宋_GB2312"/>
                <w:bCs/>
                <w:color w:val="000000"/>
                <w:spacing w:val="6"/>
                <w:szCs w:val="28"/>
              </w:rPr>
              <w:t>构建集语义研判、特征溯源、云边协同和决策支持于一体的智慧警务实战体系。参赛者应结合警务实战在接处警、目标布控及场景感知方面的表现，聚焦于垂直领域，实现对警情风险的精准预判、对警情目标的敏捷溯源，并为辅助决策提供逻辑严密的支撑路径。</w:t>
            </w:r>
          </w:p>
          <w:p w14:paraId="3C972BD3">
            <w:pPr>
              <w:adjustRightInd w:val="0"/>
              <w:snapToGrid w:val="0"/>
              <w:ind w:firstLine="504" w:firstLineChars="200"/>
              <w:rPr>
                <w:rFonts w:hint="eastAsia" w:ascii="仿宋_GB2312" w:hAnsi="仿宋_GB2312" w:eastAsia="仿宋_GB2312" w:cs="仿宋_GB2312"/>
                <w:bCs/>
                <w:color w:val="000000"/>
                <w:spacing w:val="6"/>
                <w:szCs w:val="28"/>
              </w:rPr>
            </w:pPr>
            <w:r>
              <w:rPr>
                <w:rFonts w:ascii="仿宋_GB2312" w:hAnsi="仿宋_GB2312" w:eastAsia="仿宋_GB2312" w:cs="仿宋_GB2312"/>
                <w:bCs/>
                <w:color w:val="000000"/>
                <w:spacing w:val="6"/>
                <w:szCs w:val="28"/>
              </w:rPr>
              <w:t>2.</w:t>
            </w:r>
            <w:r>
              <w:rPr>
                <w:rFonts w:hint="eastAsia" w:ascii="仿宋_GB2312" w:hAnsi="仿宋_GB2312" w:eastAsia="仿宋_GB2312" w:cs="仿宋_GB2312"/>
                <w:bCs/>
                <w:color w:val="000000"/>
                <w:spacing w:val="6"/>
                <w:szCs w:val="28"/>
              </w:rPr>
              <w:t>具备卓越的实际应用价值与实战赋能效能。作品应能有效解决现实中的治理难题，如提升警情处理的流转效率、强化非人脸特征下的目标布控能力、降低自动化预警的干扰误差，从而显著优化警务资源的配置效能。</w:t>
            </w:r>
          </w:p>
          <w:p w14:paraId="0E790C1B">
            <w:pPr>
              <w:adjustRightInd w:val="0"/>
              <w:snapToGrid w:val="0"/>
              <w:ind w:firstLine="504" w:firstLineChars="200"/>
              <w:rPr>
                <w:rFonts w:hint="eastAsia" w:ascii="仿宋_GB2312" w:hAnsi="仿宋_GB2312" w:eastAsia="仿宋_GB2312" w:cs="仿宋_GB2312"/>
                <w:bCs/>
                <w:color w:val="000000"/>
                <w:spacing w:val="6"/>
                <w:szCs w:val="28"/>
              </w:rPr>
            </w:pPr>
            <w:r>
              <w:rPr>
                <w:rFonts w:ascii="仿宋_GB2312" w:hAnsi="仿宋_GB2312" w:eastAsia="仿宋_GB2312" w:cs="仿宋_GB2312"/>
                <w:bCs/>
                <w:color w:val="000000"/>
                <w:spacing w:val="6"/>
                <w:szCs w:val="28"/>
              </w:rPr>
              <w:t>3.</w:t>
            </w:r>
            <w:r>
              <w:rPr>
                <w:rFonts w:hint="eastAsia" w:ascii="仿宋_GB2312" w:hAnsi="仿宋_GB2312" w:eastAsia="仿宋_GB2312" w:cs="仿宋_GB2312"/>
                <w:bCs/>
                <w:color w:val="000000"/>
                <w:spacing w:val="6"/>
                <w:szCs w:val="28"/>
              </w:rPr>
              <w:t>提供系统性的功能设计方案与核心算法构建描述。参赛者需对方案设计的逻辑合理性进行自主评估，提交材料包括但不限于作品设计报告、技术实现说明等文档，以及支撑系统运行的作品源代码。</w:t>
            </w:r>
          </w:p>
          <w:p w14:paraId="3C900474">
            <w:pPr>
              <w:adjustRightInd w:val="0"/>
              <w:snapToGrid w:val="0"/>
              <w:ind w:firstLine="504" w:firstLineChars="200"/>
              <w:rPr>
                <w:rFonts w:hint="eastAsia" w:ascii="仿宋_GB2312" w:hAnsi="仿宋_GB2312" w:eastAsia="仿宋_GB2312" w:cs="仿宋_GB2312"/>
                <w:color w:val="000000"/>
              </w:rPr>
            </w:pPr>
            <w:r>
              <w:rPr>
                <w:rFonts w:ascii="仿宋_GB2312" w:hAnsi="仿宋_GB2312" w:eastAsia="仿宋_GB2312" w:cs="仿宋_GB2312"/>
                <w:bCs/>
                <w:color w:val="000000"/>
                <w:spacing w:val="6"/>
                <w:szCs w:val="28"/>
              </w:rPr>
              <w:t>4.</w:t>
            </w:r>
            <w:r>
              <w:rPr>
                <w:rFonts w:hint="eastAsia" w:ascii="仿宋_GB2312" w:hAnsi="仿宋_GB2312" w:eastAsia="仿宋_GB2312" w:cs="仿宋_GB2312"/>
                <w:bCs/>
                <w:color w:val="000000"/>
                <w:spacing w:val="6"/>
                <w:szCs w:val="28"/>
              </w:rPr>
              <w:t>彰显积极向上的价值观与恪守学术道德准则。作品应体现对平安中国建设的深刻责任感。参赛者应当保证作品的原创性，杜绝一切抄袭或剽窃他人成果的行为，严格遵守国家有关知识产权保护及数据安全的法律法规。</w:t>
            </w:r>
          </w:p>
        </w:tc>
      </w:tr>
      <w:tr w14:paraId="632085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8D06F2">
            <w:pPr>
              <w:overflowPunct w:val="0"/>
              <w:adjustRightInd w:val="0"/>
              <w:snapToGrid w:val="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作品评审</w:t>
            </w:r>
          </w:p>
          <w:p w14:paraId="25CDAB9F">
            <w:pPr>
              <w:overflowPunct w:val="0"/>
              <w:adjustRightInd w:val="0"/>
              <w:snapToGrid w:val="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08D968">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ascii="仿宋_GB2312" w:hAnsi="仿宋_GB2312" w:eastAsia="仿宋_GB2312" w:cs="仿宋_GB2312"/>
                <w:bCs/>
                <w:color w:val="000000"/>
                <w:spacing w:val="6"/>
                <w:szCs w:val="28"/>
              </w:rPr>
              <w:t>1.</w:t>
            </w:r>
            <w:r>
              <w:rPr>
                <w:rFonts w:hint="eastAsia" w:ascii="仿宋_GB2312" w:hAnsi="仿宋_GB2312" w:eastAsia="仿宋_GB2312" w:cs="仿宋_GB2312"/>
                <w:bCs/>
                <w:color w:val="000000"/>
                <w:spacing w:val="6"/>
                <w:szCs w:val="28"/>
              </w:rPr>
              <w:t>作品完整性：</w:t>
            </w:r>
            <w:r>
              <w:rPr>
                <w:rFonts w:ascii="仿宋_GB2312" w:hAnsi="仿宋_GB2312" w:eastAsia="仿宋_GB2312" w:cs="仿宋_GB2312"/>
                <w:bCs/>
                <w:color w:val="000000"/>
                <w:spacing w:val="6"/>
                <w:szCs w:val="28"/>
              </w:rPr>
              <w:t>40</w:t>
            </w:r>
            <w:r>
              <w:rPr>
                <w:rFonts w:hint="eastAsia" w:ascii="仿宋_GB2312" w:hAnsi="仿宋_GB2312" w:eastAsia="仿宋_GB2312" w:cs="仿宋_GB2312"/>
                <w:bCs/>
                <w:color w:val="000000"/>
                <w:spacing w:val="6"/>
                <w:szCs w:val="28"/>
              </w:rPr>
              <w:t>分</w:t>
            </w:r>
            <w:r>
              <w:rPr>
                <w:rFonts w:ascii="仿宋_GB2312" w:hAnsi="仿宋_GB2312" w:eastAsia="仿宋_GB2312" w:cs="仿宋_GB2312"/>
                <w:bCs/>
                <w:color w:val="000000"/>
                <w:spacing w:val="6"/>
                <w:szCs w:val="28"/>
              </w:rPr>
              <w:t xml:space="preserve"> </w:t>
            </w:r>
            <w:r>
              <w:rPr>
                <w:rFonts w:hint="eastAsia" w:ascii="仿宋_GB2312" w:hAnsi="仿宋_GB2312" w:eastAsia="仿宋_GB2312" w:cs="仿宋_GB2312"/>
                <w:bCs/>
                <w:color w:val="000000"/>
                <w:spacing w:val="6"/>
                <w:szCs w:val="28"/>
              </w:rPr>
              <w:t>独立研发并完成智慧警务大模型系统，具备完整的语义判定、目标的感知溯源、预警复核等核心能力，功能完整可用，为</w:t>
            </w:r>
            <w:r>
              <w:rPr>
                <w:rFonts w:ascii="仿宋_GB2312" w:hAnsi="仿宋_GB2312" w:eastAsia="仿宋_GB2312" w:cs="仿宋_GB2312"/>
                <w:bCs/>
                <w:color w:val="000000"/>
                <w:spacing w:val="6"/>
                <w:szCs w:val="28"/>
              </w:rPr>
              <w:t>40</w:t>
            </w:r>
            <w:r>
              <w:rPr>
                <w:rFonts w:hint="eastAsia" w:ascii="仿宋_GB2312" w:hAnsi="仿宋_GB2312" w:eastAsia="仿宋_GB2312" w:cs="仿宋_GB2312"/>
                <w:bCs/>
                <w:color w:val="000000"/>
                <w:spacing w:val="6"/>
                <w:szCs w:val="28"/>
              </w:rPr>
              <w:t>分。如未完成核心业务闭环，按照完成比例给予评定，最高不超过</w:t>
            </w:r>
            <w:r>
              <w:rPr>
                <w:rFonts w:ascii="仿宋_GB2312" w:hAnsi="仿宋_GB2312" w:eastAsia="仿宋_GB2312" w:cs="仿宋_GB2312"/>
                <w:bCs/>
                <w:color w:val="000000"/>
                <w:spacing w:val="6"/>
                <w:szCs w:val="28"/>
              </w:rPr>
              <w:t>20</w:t>
            </w:r>
            <w:r>
              <w:rPr>
                <w:rFonts w:hint="eastAsia" w:ascii="仿宋_GB2312" w:hAnsi="仿宋_GB2312" w:eastAsia="仿宋_GB2312" w:cs="仿宋_GB2312"/>
                <w:bCs/>
                <w:color w:val="000000"/>
                <w:spacing w:val="6"/>
                <w:szCs w:val="28"/>
              </w:rPr>
              <w:t>分。</w:t>
            </w:r>
          </w:p>
          <w:p w14:paraId="408970D4">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ascii="仿宋_GB2312" w:hAnsi="仿宋_GB2312" w:eastAsia="仿宋_GB2312" w:cs="仿宋_GB2312"/>
                <w:bCs/>
                <w:color w:val="000000"/>
                <w:spacing w:val="6"/>
                <w:szCs w:val="28"/>
              </w:rPr>
              <w:t>2.</w:t>
            </w:r>
            <w:r>
              <w:rPr>
                <w:rFonts w:hint="eastAsia" w:ascii="仿宋_GB2312" w:hAnsi="仿宋_GB2312" w:eastAsia="仿宋_GB2312" w:cs="仿宋_GB2312"/>
                <w:bCs/>
                <w:color w:val="000000"/>
                <w:spacing w:val="6"/>
                <w:szCs w:val="28"/>
              </w:rPr>
              <w:t>应用创新性：</w:t>
            </w:r>
            <w:r>
              <w:rPr>
                <w:rFonts w:ascii="仿宋_GB2312" w:hAnsi="仿宋_GB2312" w:eastAsia="仿宋_GB2312" w:cs="仿宋_GB2312"/>
                <w:bCs/>
                <w:color w:val="000000"/>
                <w:spacing w:val="6"/>
                <w:szCs w:val="28"/>
              </w:rPr>
              <w:t>25</w:t>
            </w:r>
            <w:r>
              <w:rPr>
                <w:rFonts w:hint="eastAsia" w:ascii="仿宋_GB2312" w:hAnsi="仿宋_GB2312" w:eastAsia="仿宋_GB2312" w:cs="仿宋_GB2312"/>
                <w:bCs/>
                <w:color w:val="000000"/>
                <w:spacing w:val="6"/>
                <w:szCs w:val="28"/>
              </w:rPr>
              <w:t>分</w:t>
            </w:r>
            <w:r>
              <w:rPr>
                <w:rFonts w:ascii="仿宋_GB2312" w:hAnsi="仿宋_GB2312" w:eastAsia="仿宋_GB2312" w:cs="仿宋_GB2312"/>
                <w:bCs/>
                <w:color w:val="000000"/>
                <w:spacing w:val="6"/>
                <w:szCs w:val="28"/>
              </w:rPr>
              <w:t xml:space="preserve"> </w:t>
            </w:r>
            <w:r>
              <w:rPr>
                <w:rFonts w:hint="eastAsia" w:ascii="仿宋_GB2312" w:hAnsi="仿宋_GB2312" w:eastAsia="仿宋_GB2312" w:cs="仿宋_GB2312"/>
                <w:bCs/>
                <w:color w:val="000000"/>
                <w:spacing w:val="6"/>
                <w:szCs w:val="28"/>
              </w:rPr>
              <w:t>根据作品在警务实战场景的覆盖深度、业务适配性、社会治理价值等方面，综合评定</w:t>
            </w:r>
            <w:r>
              <w:rPr>
                <w:rFonts w:ascii="仿宋_GB2312" w:hAnsi="仿宋_GB2312" w:eastAsia="仿宋_GB2312" w:cs="仿宋_GB2312"/>
                <w:bCs/>
                <w:color w:val="000000"/>
                <w:spacing w:val="6"/>
                <w:szCs w:val="28"/>
              </w:rPr>
              <w:t>0-25</w:t>
            </w:r>
            <w:r>
              <w:rPr>
                <w:rFonts w:hint="eastAsia" w:ascii="仿宋_GB2312" w:hAnsi="仿宋_GB2312" w:eastAsia="仿宋_GB2312" w:cs="仿宋_GB2312"/>
                <w:bCs/>
                <w:color w:val="000000"/>
                <w:spacing w:val="6"/>
                <w:szCs w:val="28"/>
              </w:rPr>
              <w:t>分。</w:t>
            </w:r>
          </w:p>
          <w:p w14:paraId="73BA4D34">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ascii="仿宋_GB2312" w:hAnsi="仿宋_GB2312" w:eastAsia="仿宋_GB2312" w:cs="仿宋_GB2312"/>
                <w:bCs/>
                <w:color w:val="000000"/>
                <w:spacing w:val="6"/>
                <w:szCs w:val="28"/>
              </w:rPr>
              <w:t>3.</w:t>
            </w:r>
            <w:r>
              <w:rPr>
                <w:rFonts w:hint="eastAsia" w:ascii="仿宋_GB2312" w:hAnsi="仿宋_GB2312" w:eastAsia="仿宋_GB2312" w:cs="仿宋_GB2312"/>
                <w:bCs/>
                <w:color w:val="000000"/>
                <w:spacing w:val="6"/>
                <w:szCs w:val="28"/>
              </w:rPr>
              <w:t>技术创新性：</w:t>
            </w:r>
            <w:r>
              <w:rPr>
                <w:rFonts w:ascii="仿宋_GB2312" w:hAnsi="仿宋_GB2312" w:eastAsia="仿宋_GB2312" w:cs="仿宋_GB2312"/>
                <w:bCs/>
                <w:color w:val="000000"/>
                <w:spacing w:val="6"/>
                <w:szCs w:val="28"/>
              </w:rPr>
              <w:t>20</w:t>
            </w:r>
            <w:r>
              <w:rPr>
                <w:rFonts w:hint="eastAsia" w:ascii="仿宋_GB2312" w:hAnsi="仿宋_GB2312" w:eastAsia="仿宋_GB2312" w:cs="仿宋_GB2312"/>
                <w:bCs/>
                <w:color w:val="000000"/>
                <w:spacing w:val="6"/>
                <w:szCs w:val="28"/>
              </w:rPr>
              <w:t>分</w:t>
            </w:r>
            <w:r>
              <w:rPr>
                <w:rFonts w:ascii="仿宋_GB2312" w:hAnsi="仿宋_GB2312" w:eastAsia="仿宋_GB2312" w:cs="仿宋_GB2312"/>
                <w:bCs/>
                <w:color w:val="000000"/>
                <w:spacing w:val="6"/>
                <w:szCs w:val="28"/>
              </w:rPr>
              <w:t xml:space="preserve"> </w:t>
            </w:r>
            <w:r>
              <w:rPr>
                <w:rFonts w:hint="eastAsia" w:ascii="仿宋_GB2312" w:hAnsi="仿宋_GB2312" w:eastAsia="仿宋_GB2312" w:cs="仿宋_GB2312"/>
                <w:bCs/>
                <w:color w:val="000000"/>
                <w:spacing w:val="6"/>
                <w:szCs w:val="28"/>
              </w:rPr>
              <w:t>作品在警务行业知识内化、多模态语义空间对齐（如</w:t>
            </w:r>
            <w:r>
              <w:rPr>
                <w:rFonts w:ascii="仿宋_GB2312" w:hAnsi="仿宋_GB2312" w:eastAsia="仿宋_GB2312" w:cs="仿宋_GB2312"/>
                <w:bCs/>
                <w:color w:val="000000"/>
                <w:spacing w:val="6"/>
                <w:szCs w:val="28"/>
              </w:rPr>
              <w:t>CLIP</w:t>
            </w:r>
            <w:r>
              <w:rPr>
                <w:rFonts w:hint="eastAsia" w:ascii="仿宋_GB2312" w:hAnsi="仿宋_GB2312" w:eastAsia="仿宋_GB2312" w:cs="仿宋_GB2312"/>
                <w:bCs/>
                <w:color w:val="000000"/>
                <w:spacing w:val="6"/>
                <w:szCs w:val="28"/>
              </w:rPr>
              <w:t>架构优化）、高质量警务数据集构建及</w:t>
            </w:r>
            <w:r>
              <w:rPr>
                <w:rFonts w:ascii="仿宋_GB2312" w:hAnsi="仿宋_GB2312" w:eastAsia="仿宋_GB2312" w:cs="仿宋_GB2312"/>
                <w:bCs/>
                <w:color w:val="000000"/>
                <w:spacing w:val="6"/>
                <w:szCs w:val="28"/>
              </w:rPr>
              <w:t>RAG</w:t>
            </w:r>
            <w:r>
              <w:rPr>
                <w:rFonts w:hint="eastAsia" w:ascii="仿宋_GB2312" w:hAnsi="仿宋_GB2312" w:eastAsia="仿宋_GB2312" w:cs="仿宋_GB2312"/>
                <w:bCs/>
                <w:color w:val="000000"/>
                <w:spacing w:val="6"/>
                <w:szCs w:val="28"/>
              </w:rPr>
              <w:t>增强逻辑等方面有显著创新，综合评定</w:t>
            </w:r>
            <w:r>
              <w:rPr>
                <w:rFonts w:ascii="仿宋_GB2312" w:hAnsi="仿宋_GB2312" w:eastAsia="仿宋_GB2312" w:cs="仿宋_GB2312"/>
                <w:bCs/>
                <w:color w:val="000000"/>
                <w:spacing w:val="6"/>
                <w:szCs w:val="28"/>
              </w:rPr>
              <w:t>0-20</w:t>
            </w:r>
            <w:r>
              <w:rPr>
                <w:rFonts w:hint="eastAsia" w:ascii="仿宋_GB2312" w:hAnsi="仿宋_GB2312" w:eastAsia="仿宋_GB2312" w:cs="仿宋_GB2312"/>
                <w:bCs/>
                <w:color w:val="000000"/>
                <w:spacing w:val="6"/>
                <w:szCs w:val="28"/>
              </w:rPr>
              <w:t>分。</w:t>
            </w:r>
          </w:p>
          <w:p w14:paraId="007975DE">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ascii="仿宋_GB2312" w:hAnsi="仿宋_GB2312" w:eastAsia="仿宋_GB2312" w:cs="仿宋_GB2312"/>
                <w:bCs/>
                <w:color w:val="000000"/>
                <w:spacing w:val="6"/>
                <w:szCs w:val="28"/>
              </w:rPr>
              <w:t>4.</w:t>
            </w:r>
            <w:r>
              <w:rPr>
                <w:rFonts w:hint="eastAsia" w:ascii="仿宋_GB2312" w:hAnsi="仿宋_GB2312" w:eastAsia="仿宋_GB2312" w:cs="仿宋_GB2312"/>
                <w:bCs/>
                <w:color w:val="000000"/>
                <w:spacing w:val="6"/>
                <w:szCs w:val="28"/>
              </w:rPr>
              <w:t>系统性能：</w:t>
            </w:r>
            <w:r>
              <w:rPr>
                <w:rFonts w:ascii="仿宋_GB2312" w:hAnsi="仿宋_GB2312" w:eastAsia="仿宋_GB2312" w:cs="仿宋_GB2312"/>
                <w:bCs/>
                <w:color w:val="000000"/>
                <w:spacing w:val="6"/>
                <w:szCs w:val="28"/>
              </w:rPr>
              <w:t>15</w:t>
            </w:r>
            <w:r>
              <w:rPr>
                <w:rFonts w:hint="eastAsia" w:ascii="仿宋_GB2312" w:hAnsi="仿宋_GB2312" w:eastAsia="仿宋_GB2312" w:cs="仿宋_GB2312"/>
                <w:bCs/>
                <w:color w:val="000000"/>
                <w:spacing w:val="6"/>
                <w:szCs w:val="28"/>
              </w:rPr>
              <w:t>分</w:t>
            </w:r>
            <w:r>
              <w:rPr>
                <w:rFonts w:ascii="仿宋_GB2312" w:hAnsi="仿宋_GB2312" w:eastAsia="仿宋_GB2312" w:cs="仿宋_GB2312"/>
                <w:bCs/>
                <w:color w:val="000000"/>
                <w:spacing w:val="6"/>
                <w:szCs w:val="28"/>
              </w:rPr>
              <w:t xml:space="preserve"> </w:t>
            </w:r>
            <w:r>
              <w:rPr>
                <w:rFonts w:hint="eastAsia" w:ascii="仿宋_GB2312" w:hAnsi="仿宋_GB2312" w:eastAsia="仿宋_GB2312" w:cs="仿宋_GB2312"/>
                <w:bCs/>
                <w:color w:val="000000"/>
                <w:spacing w:val="6"/>
                <w:szCs w:val="28"/>
              </w:rPr>
              <w:t>根据警情判定准确率、特征匹配速度、系统响应时延及复杂环境下的兼容性等指标进行评分，综合评定</w:t>
            </w:r>
            <w:r>
              <w:rPr>
                <w:rFonts w:ascii="仿宋_GB2312" w:hAnsi="仿宋_GB2312" w:eastAsia="仿宋_GB2312" w:cs="仿宋_GB2312"/>
                <w:bCs/>
                <w:color w:val="000000"/>
                <w:spacing w:val="6"/>
                <w:szCs w:val="28"/>
              </w:rPr>
              <w:t>0-15</w:t>
            </w:r>
            <w:r>
              <w:rPr>
                <w:rFonts w:hint="eastAsia" w:ascii="仿宋_GB2312" w:hAnsi="仿宋_GB2312" w:eastAsia="仿宋_GB2312" w:cs="仿宋_GB2312"/>
                <w:bCs/>
                <w:color w:val="000000"/>
                <w:spacing w:val="6"/>
                <w:szCs w:val="28"/>
              </w:rPr>
              <w:t>分。</w:t>
            </w:r>
          </w:p>
        </w:tc>
      </w:tr>
      <w:tr w14:paraId="582DE9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5B3B3CF">
            <w:pPr>
              <w:overflowPunct w:val="0"/>
              <w:adjustRightInd w:val="0"/>
              <w:snapToGrid w:val="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2B970B9">
            <w:pPr>
              <w:overflowPunct w:val="0"/>
              <w:adjustRightInd w:val="0"/>
              <w:snapToGrid w:val="0"/>
              <w:ind w:firstLine="504" w:firstLineChars="200"/>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无</w:t>
            </w:r>
          </w:p>
        </w:tc>
      </w:tr>
    </w:tbl>
    <w:p w14:paraId="2FDFEBC7">
      <w:pPr>
        <w:adjustRightInd/>
        <w:snapToGrid/>
        <w:rPr>
          <w:rFonts w:ascii="方正黑体简体" w:hAnsi="Times New Roman" w:eastAsia="方正黑体简体" w:cs="Times New Roman"/>
          <w:bCs/>
          <w:spacing w:val="6"/>
          <w:sz w:val="32"/>
          <w:szCs w:val="32"/>
        </w:rPr>
      </w:pPr>
      <w:r>
        <w:rPr>
          <w:rFonts w:hint="eastAsia" w:ascii="方正黑体简体" w:hAnsi="Times New Roman" w:eastAsia="方正黑体简体" w:cs="Times New Roman"/>
          <w:bCs/>
          <w:spacing w:val="6"/>
          <w:sz w:val="32"/>
          <w:szCs w:val="32"/>
        </w:rPr>
        <w:br w:type="page"/>
      </w:r>
    </w:p>
    <w:p w14:paraId="3A20B2B4">
      <w:pPr>
        <w:tabs>
          <w:tab w:val="left" w:pos="8640"/>
        </w:tabs>
        <w:adjustRightInd w:val="0"/>
        <w:snapToGrid w:val="0"/>
        <w:spacing w:line="440" w:lineRule="exact"/>
        <w:rPr>
          <w:rFonts w:ascii="方正黑体简体" w:hAnsi="Times New Roman" w:eastAsia="方正黑体简体" w:cs="Times New Roman"/>
          <w:bCs/>
          <w:spacing w:val="6"/>
          <w:sz w:val="32"/>
          <w:szCs w:val="32"/>
        </w:rPr>
      </w:pPr>
      <w:r>
        <w:rPr>
          <w:rFonts w:hint="eastAsia" w:ascii="方正黑体简体" w:hAnsi="Times New Roman" w:eastAsia="方正黑体简体" w:cs="Times New Roman"/>
          <w:bCs/>
          <w:spacing w:val="6"/>
          <w:sz w:val="32"/>
          <w:szCs w:val="32"/>
        </w:rPr>
        <w:t>三、激励保障</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44EE93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414"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6BAD98B">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highlight w:val="none"/>
                <w:lang w:val="en-US"/>
              </w:rPr>
              <w:t>保障</w:t>
            </w:r>
            <w:r>
              <w:rPr>
                <w:rFonts w:hint="eastAsia" w:ascii="楷体_GB2312" w:hAnsi="楷体_GB2312" w:eastAsia="楷体_GB2312" w:cs="楷体_GB2312"/>
                <w:color w:val="000000"/>
                <w:sz w:val="28"/>
                <w:szCs w:val="28"/>
                <w:highlight w:val="none"/>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CC2E4F9">
            <w:pPr>
              <w:numPr>
                <w:ilvl w:val="0"/>
                <w:numId w:val="2"/>
              </w:numPr>
              <w:adjustRightInd w:val="0"/>
              <w:snapToGrid w:val="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专家指导团队</w:t>
            </w:r>
          </w:p>
          <w:p w14:paraId="0CE981EB">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顾问专家：陈老师，联系电话：13901346757</w:t>
            </w:r>
          </w:p>
          <w:p w14:paraId="61DAA1C3">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顾问专家：赵老师，联系电话：13488795182</w:t>
            </w:r>
          </w:p>
          <w:p w14:paraId="0A658BF2">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负责比赛期间技术指导保障。</w:t>
            </w:r>
          </w:p>
          <w:p w14:paraId="20591958">
            <w:pPr>
              <w:numPr>
                <w:ilvl w:val="0"/>
                <w:numId w:val="2"/>
              </w:numPr>
              <w:adjustRightInd w:val="0"/>
              <w:snapToGrid w:val="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赛事服务团队</w:t>
            </w:r>
          </w:p>
          <w:p w14:paraId="28B57132">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联络专员：谷老师，联系电话：13810024622</w:t>
            </w:r>
          </w:p>
          <w:p w14:paraId="326734F1">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联络专员：</w:t>
            </w:r>
            <w:r>
              <w:rPr>
                <w:rFonts w:hint="eastAsia" w:ascii="仿宋_GB2312" w:hAnsi="仿宋_GB2312" w:eastAsia="仿宋_GB2312" w:cs="仿宋_GB2312"/>
                <w:bCs/>
                <w:color w:val="000000"/>
                <w:spacing w:val="6"/>
                <w:szCs w:val="28"/>
                <w:lang w:val="en-US" w:eastAsia="zh-CN"/>
              </w:rPr>
              <w:t>李</w:t>
            </w:r>
            <w:r>
              <w:rPr>
                <w:rFonts w:hint="eastAsia" w:ascii="仿宋_GB2312" w:hAnsi="仿宋_GB2312" w:eastAsia="仿宋_GB2312" w:cs="仿宋_GB2312"/>
                <w:bCs/>
                <w:color w:val="000000"/>
                <w:spacing w:val="6"/>
                <w:szCs w:val="28"/>
                <w:lang w:val="en-US"/>
              </w:rPr>
              <w:t>老师，联系电话：13810069439</w:t>
            </w:r>
          </w:p>
          <w:p w14:paraId="2360EA25">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负责比赛期间组织服务及后期相关赛务协调联络。</w:t>
            </w:r>
          </w:p>
          <w:p w14:paraId="7D7727F7">
            <w:pPr>
              <w:numPr>
                <w:ilvl w:val="0"/>
                <w:numId w:val="2"/>
              </w:numPr>
              <w:adjustRightInd w:val="0"/>
              <w:snapToGrid w:val="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联系时间</w:t>
            </w:r>
          </w:p>
          <w:p w14:paraId="2B8955BA">
            <w:pPr>
              <w:adjustRightInd w:val="0"/>
              <w:snapToGrid w:val="0"/>
              <w:ind w:firstLine="504" w:firstLineChars="200"/>
              <w:jc w:val="both"/>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lang w:val="en-US"/>
              </w:rPr>
              <w:t>比赛期间工作日（9:00-17:00）</w:t>
            </w:r>
          </w:p>
        </w:tc>
      </w:tr>
      <w:tr w14:paraId="2AA218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4621"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41E33FD">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927503D">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一、奖项设置</w:t>
            </w:r>
          </w:p>
          <w:p w14:paraId="0E82869A">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eastAsia="zh-CN"/>
              </w:rPr>
              <w:t>原则上设“擂主”团队1个，</w:t>
            </w:r>
            <w:r>
              <w:rPr>
                <w:rFonts w:hint="eastAsia" w:ascii="仿宋_GB2312" w:hAnsi="仿宋_GB2312" w:eastAsia="仿宋_GB2312" w:cs="仿宋_GB2312"/>
                <w:bCs/>
                <w:color w:val="000000"/>
                <w:spacing w:val="6"/>
                <w:szCs w:val="28"/>
                <w:lang w:val="en-US"/>
              </w:rPr>
              <w:t>根据实际情况评出相应的特等奖、一等奖、二等奖、三等奖项目若干。</w:t>
            </w:r>
          </w:p>
          <w:p w14:paraId="532D6D1D">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二、激励措施</w:t>
            </w:r>
          </w:p>
          <w:p w14:paraId="075FA4C6">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1.研究成果如具有在本单位实践应用的价值，则获奖团队成员在本单位实习生或应届生招聘时，同等条件下可优先录用。</w:t>
            </w:r>
          </w:p>
          <w:p w14:paraId="7EDC14DA">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2.“擂主”团队成员在同等条件下，可通过实习生“绿色通道”直接获得正式工作机会。</w:t>
            </w:r>
          </w:p>
        </w:tc>
      </w:tr>
    </w:tbl>
    <w:p w14:paraId="5DAD5025">
      <w:pPr>
        <w:tabs>
          <w:tab w:val="left" w:pos="8640"/>
        </w:tabs>
        <w:adjustRightInd w:val="0"/>
        <w:snapToGrid w:val="0"/>
        <w:spacing w:line="560" w:lineRule="exact"/>
        <w:rPr>
          <w:rFonts w:ascii="方正黑体简体" w:eastAsia="方正黑体简体"/>
          <w:bCs/>
          <w:spacing w:val="6"/>
          <w:sz w:val="32"/>
          <w:szCs w:val="32"/>
          <w:lang w:val="en-US"/>
        </w:rPr>
      </w:pPr>
      <w:r>
        <w:rPr>
          <w:rFonts w:hint="eastAsia" w:ascii="方正黑体简体" w:eastAsia="方正黑体简体"/>
          <w:bCs/>
          <w:spacing w:val="6"/>
          <w:sz w:val="32"/>
          <w:szCs w:val="32"/>
          <w:lang w:val="en-US"/>
        </w:rPr>
        <w:t>四、选题意义</w:t>
      </w:r>
    </w:p>
    <w:tbl>
      <w:tblPr>
        <w:tblStyle w:val="1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717C6A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462BAC71">
            <w:pPr>
              <w:overflowPunct w:val="0"/>
              <w:adjustRightInd w:val="0"/>
              <w:snapToGrid w:val="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83689A">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ascii="仿宋_GB2312" w:hAnsi="仿宋_GB2312" w:eastAsia="仿宋_GB2312" w:cs="仿宋_GB2312"/>
                <w:bCs/>
                <w:color w:val="000000"/>
                <w:spacing w:val="6"/>
                <w:szCs w:val="28"/>
              </w:rPr>
              <w:t>本题聚焦警务实战中从“信息展示与规则触发”向“认知理解与智能决策”转型过程中面临的关键技术瓶颈，针对警情信息高度非结构化、语义表达复杂、多源要素关联困难以及风险评估与目标发现能力不足等突出问题，探索面向公安核心业务的智能认知与决策支撑技术体系。通过提升系统对口语化、非规范表述和复杂语境的理解能力，融合多源警务数据，实现对警情、对象与场景的综合研判与辅助决策，突破传统系统依赖人工经验和静态规则的局限。本题对解决警务实战中“难理解、难评估、难联动”的核心技术问题具有重要意义，为构建具备认知能力、推理能力和实战适配能力的新型智能警务系统奠定技术基础。</w:t>
            </w:r>
          </w:p>
        </w:tc>
      </w:tr>
      <w:tr w14:paraId="602468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AE9C76">
            <w:pPr>
              <w:overflowPunct w:val="0"/>
              <w:adjustRightInd w:val="0"/>
              <w:snapToGrid w:val="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A2D7DA">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ascii="仿宋_GB2312" w:hAnsi="仿宋_GB2312" w:eastAsia="仿宋_GB2312" w:cs="仿宋_GB2312"/>
                <w:bCs/>
                <w:color w:val="000000"/>
                <w:spacing w:val="6"/>
                <w:szCs w:val="28"/>
              </w:rPr>
              <w:t>本题预期成果可显著提升警务实战效率与决策质量，在接处警、布控防控、社会面治理和视频实战等典型场景中，为警务人员提供更加及时、准确和一致的辅助支撑，有助于降低处置风险、优化警力配置、提升整体响应效能。通过推动警务工作模式由被动响应向智能理解与主动防控转变，可增强公共安全治理的前瞻性和精准性，提升社会治理精细化水平。同时，相关技术与体系具备良好的可复制性和推广价值，可为智慧警务、智慧城市及相关数字治理领域提供通用能力支撑，促进公安信息化与人工智能技术的深度融合，产生显著的社会效益与长远的经济价值。</w:t>
            </w:r>
          </w:p>
        </w:tc>
      </w:tr>
    </w:tbl>
    <w:p w14:paraId="559354DA">
      <w:pPr>
        <w:rPr>
          <w:rFonts w:hint="eastAsia" w:ascii="Times New Roman" w:hAnsi="Times New Roman" w:eastAsia="方正小标宋简体" w:cs="方正小标宋简体"/>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br w:type="page"/>
      </w:r>
    </w:p>
    <w:p w14:paraId="7608D48C">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“青智未来”新质生产力</w:t>
      </w:r>
      <w:r>
        <w:rPr>
          <w:rFonts w:hint="default" w:ascii="Times New Roman" w:hAnsi="Times New Roman" w:eastAsia="方正小标宋简体" w:cs="Times New Roman"/>
          <w:b w:val="0"/>
          <w:bCs/>
          <w:kern w:val="2"/>
          <w:sz w:val="44"/>
          <w:szCs w:val="32"/>
          <w:highlight w:val="none"/>
          <w:lang w:val="en-US" w:eastAsia="zh-CN"/>
        </w:rPr>
        <w:t>专项赛</w:t>
      </w:r>
    </w:p>
    <w:p w14:paraId="49DB4FFC">
      <w:pPr>
        <w:keepNext w:val="0"/>
        <w:keepLines w:val="0"/>
        <w:pageBreakBefore w:val="0"/>
        <w:widowControl w:val="0"/>
        <w:tabs>
          <w:tab w:val="left" w:pos="8640"/>
        </w:tabs>
        <w:kinsoku/>
        <w:wordWrap w:val="0"/>
        <w:topLinePunct w:val="0"/>
        <w:autoSpaceDE/>
        <w:autoSpaceDN/>
        <w:bidi w:val="0"/>
        <w:adjustRightInd w:val="0"/>
        <w:snapToGrid w:val="0"/>
        <w:spacing w:line="560" w:lineRule="exact"/>
        <w:jc w:val="center"/>
        <w:rPr>
          <w:rFonts w:hint="default" w:ascii="Times New Roman" w:hAnsi="Times New Roman" w:eastAsia="方正小标宋简体" w:cs="Times New Roman"/>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—0</w:t>
      </w:r>
      <w:r>
        <w:rPr>
          <w:rFonts w:hint="eastAsia" w:eastAsia="方正小标宋简体" w:cs="方正小标宋简体"/>
          <w:b w:val="0"/>
          <w:bCs/>
          <w:kern w:val="2"/>
          <w:sz w:val="44"/>
          <w:szCs w:val="32"/>
          <w:highlight w:val="none"/>
          <w:lang w:val="en-US" w:eastAsia="zh-CN"/>
        </w:rPr>
        <w:t>8</w:t>
      </w:r>
    </w:p>
    <w:p w14:paraId="3119D0B5">
      <w:pPr>
        <w:keepNext w:val="0"/>
        <w:keepLines w:val="0"/>
        <w:pageBreakBefore w:val="0"/>
        <w:widowControl w:val="0"/>
        <w:tabs>
          <w:tab w:val="left" w:pos="8640"/>
        </w:tabs>
        <w:kinsoku/>
        <w:wordWrap w:val="0"/>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b w:val="0"/>
          <w:bCs/>
          <w:kern w:val="2"/>
          <w:sz w:val="32"/>
          <w:szCs w:val="22"/>
          <w:highlight w:val="none"/>
          <w:lang w:val="en-US" w:eastAsia="zh-CN"/>
        </w:rPr>
      </w:pPr>
    </w:p>
    <w:p w14:paraId="7232D390">
      <w:pPr>
        <w:tabs>
          <w:tab w:val="left" w:pos="8640"/>
        </w:tabs>
        <w:adjustRightInd w:val="0"/>
        <w:snapToGrid w:val="0"/>
        <w:spacing w:line="560" w:lineRule="exact"/>
        <w:rPr>
          <w:rFonts w:ascii="方正楷体简体" w:hAnsi="方正楷体简体" w:eastAsia="方正楷体简体" w:cs="方正楷体简体"/>
          <w:bCs/>
          <w:color w:val="auto"/>
          <w:spacing w:val="6"/>
        </w:rPr>
      </w:pPr>
      <w:r>
        <w:rPr>
          <w:rFonts w:hint="eastAsia" w:ascii="方正黑体简体" w:hAnsi="Times New Roman" w:eastAsia="方正黑体简体" w:cs="Times New Roman"/>
          <w:bCs/>
          <w:color w:val="auto"/>
          <w:spacing w:val="6"/>
          <w:sz w:val="32"/>
          <w:szCs w:val="32"/>
        </w:rPr>
        <w:t>一、单位信息</w:t>
      </w:r>
    </w:p>
    <w:tbl>
      <w:tblPr>
        <w:tblStyle w:val="11"/>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6D23D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7227E9CC">
            <w:pPr>
              <w:adjustRightInd w:val="0"/>
              <w:snapToGrid/>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单位名称</w:t>
            </w:r>
          </w:p>
        </w:tc>
        <w:tc>
          <w:tcPr>
            <w:tcW w:w="6932" w:type="dxa"/>
            <w:gridSpan w:val="3"/>
            <w:vAlign w:val="center"/>
          </w:tcPr>
          <w:p w14:paraId="472A16DD">
            <w:pPr>
              <w:adjustRightInd w:val="0"/>
              <w:snapToGrid w:val="0"/>
              <w:jc w:val="center"/>
              <w:rPr>
                <w:rFonts w:hint="default" w:ascii="仿宋_GB2312" w:hAnsi="仿宋_GB2312" w:eastAsia="仿宋_GB2312" w:cs="仿宋_GB2312"/>
                <w:color w:val="auto"/>
                <w:lang w:val="en-US"/>
              </w:rPr>
            </w:pPr>
            <w:r>
              <w:rPr>
                <w:rFonts w:hint="eastAsia" w:ascii="仿宋_GB2312" w:hAnsi="仿宋_GB2312" w:eastAsia="仿宋_GB2312" w:cs="仿宋_GB2312"/>
                <w:bCs/>
                <w:i w:val="0"/>
                <w:iCs w:val="0"/>
                <w:color w:val="auto"/>
                <w:spacing w:val="6"/>
                <w:szCs w:val="28"/>
                <w:lang w:val="en-US" w:eastAsia="zh-CN"/>
              </w:rPr>
              <w:t>中国电子科技集团公司信息科学研究院</w:t>
            </w:r>
          </w:p>
        </w:tc>
      </w:tr>
      <w:tr w14:paraId="241DE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5803E761">
            <w:pPr>
              <w:adjustRightInd w:val="0"/>
              <w:snapToGrid w:val="0"/>
              <w:jc w:val="center"/>
              <w:rPr>
                <w:rFonts w:hint="eastAsia" w:ascii="楷体_GB2312" w:hAnsi="楷体_GB2312" w:eastAsia="楷体_GB2312" w:cs="楷体_GB2312"/>
                <w:bCs/>
                <w:color w:val="auto"/>
                <w:spacing w:val="6"/>
                <w:szCs w:val="28"/>
                <w:lang w:val="en-US"/>
              </w:rPr>
            </w:pPr>
            <w:r>
              <w:rPr>
                <w:rFonts w:hint="eastAsia" w:ascii="楷体_GB2312" w:hAnsi="楷体_GB2312" w:eastAsia="楷体_GB2312" w:cs="楷体_GB2312"/>
                <w:color w:val="auto"/>
                <w:sz w:val="28"/>
                <w:szCs w:val="32"/>
                <w:lang w:val="en-US"/>
              </w:rPr>
              <w:t>单位类型</w:t>
            </w:r>
          </w:p>
        </w:tc>
        <w:tc>
          <w:tcPr>
            <w:tcW w:w="6932" w:type="dxa"/>
            <w:gridSpan w:val="3"/>
            <w:vAlign w:val="center"/>
          </w:tcPr>
          <w:p w14:paraId="026DF50C">
            <w:pPr>
              <w:adjustRightInd w:val="0"/>
              <w:snapToGrid w:val="0"/>
              <w:jc w:val="center"/>
              <w:rPr>
                <w:rFonts w:hint="eastAsia" w:ascii="仿宋_GB2312" w:hAnsi="仿宋_GB2312" w:eastAsia="仿宋_GB2312" w:cs="仿宋_GB2312"/>
                <w:bCs/>
                <w:color w:val="auto"/>
                <w:spacing w:val="6"/>
                <w:szCs w:val="28"/>
                <w:lang w:val="en-US"/>
              </w:rPr>
            </w:pPr>
            <w:r>
              <w:rPr>
                <w:rFonts w:hint="eastAsia" w:ascii="仿宋_GB2312" w:hAnsi="仿宋_GB2312" w:eastAsia="仿宋_GB2312" w:cs="仿宋_GB2312"/>
                <w:bCs/>
                <w:i w:val="0"/>
                <w:iCs w:val="0"/>
                <w:color w:val="auto"/>
                <w:spacing w:val="6"/>
                <w:szCs w:val="28"/>
                <w:lang w:val="en-US"/>
              </w:rPr>
              <w:t>中央企业</w:t>
            </w:r>
          </w:p>
        </w:tc>
      </w:tr>
      <w:tr w14:paraId="2703F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47E3F238">
            <w:pPr>
              <w:adjustRightInd w:val="0"/>
              <w:snapToGrid/>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地址</w:t>
            </w:r>
          </w:p>
        </w:tc>
        <w:tc>
          <w:tcPr>
            <w:tcW w:w="6932" w:type="dxa"/>
            <w:gridSpan w:val="3"/>
            <w:vAlign w:val="center"/>
          </w:tcPr>
          <w:p w14:paraId="769E5ACC">
            <w:pPr>
              <w:adjustRightInd w:val="0"/>
              <w:snapToGrid/>
              <w:jc w:val="center"/>
              <w:rPr>
                <w:rFonts w:hint="default"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北京市石景山区实兴大街金府路30号院4号楼</w:t>
            </w:r>
          </w:p>
        </w:tc>
      </w:tr>
      <w:tr w14:paraId="35546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45DCC6A9">
            <w:pPr>
              <w:adjustRightInd w:val="0"/>
              <w:snapToGrid/>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lang w:val="en-US"/>
              </w:rPr>
              <w:t>单位</w:t>
            </w:r>
            <w:r>
              <w:rPr>
                <w:rFonts w:hint="eastAsia" w:ascii="楷体_GB2312" w:hAnsi="楷体_GB2312" w:eastAsia="楷体_GB2312" w:cs="楷体_GB2312"/>
                <w:color w:val="auto"/>
                <w:sz w:val="28"/>
                <w:szCs w:val="32"/>
              </w:rPr>
              <w:t>简介</w:t>
            </w:r>
          </w:p>
        </w:tc>
        <w:tc>
          <w:tcPr>
            <w:tcW w:w="6932" w:type="dxa"/>
            <w:gridSpan w:val="3"/>
            <w:vAlign w:val="center"/>
          </w:tcPr>
          <w:p w14:paraId="05AE222A">
            <w:pPr>
              <w:keepNext w:val="0"/>
              <w:keepLines w:val="0"/>
              <w:pageBreakBefore w:val="0"/>
              <w:widowControl/>
              <w:kinsoku/>
              <w:wordWrap/>
              <w:overflowPunct/>
              <w:topLinePunct w:val="0"/>
              <w:autoSpaceDE/>
              <w:autoSpaceDN/>
              <w:bidi w:val="0"/>
              <w:adjustRightInd w:val="0"/>
              <w:snapToGrid w:val="0"/>
              <w:ind w:firstLine="504" w:firstLineChars="200"/>
              <w:jc w:val="both"/>
              <w:textAlignment w:val="auto"/>
              <w:rPr>
                <w:rFonts w:hint="eastAsia" w:ascii="仿宋_GB2312" w:hAnsi="仿宋_GB2312" w:eastAsia="仿宋_GB2312" w:cs="仿宋_GB2312"/>
                <w:bCs/>
                <w:i/>
                <w:iCs/>
                <w:color w:val="FF0000"/>
                <w:spacing w:val="6"/>
                <w:szCs w:val="28"/>
              </w:rPr>
            </w:pPr>
            <w:r>
              <w:rPr>
                <w:rFonts w:hint="eastAsia" w:ascii="仿宋_GB2312" w:hAnsi="仿宋_GB2312" w:eastAsia="仿宋_GB2312" w:cs="仿宋_GB2312"/>
                <w:bCs/>
                <w:i w:val="0"/>
                <w:iCs w:val="0"/>
                <w:color w:val="auto"/>
                <w:spacing w:val="6"/>
                <w:szCs w:val="28"/>
                <w:lang w:val="en-US" w:eastAsia="zh-CN"/>
              </w:rPr>
              <w:t>中国电科信息科学研究院（智能院）是中国电子科技集团公司智能科技发展的总体单位、智能基础和前沿技术研究的核心单位、智能科技成果转化桥梁的骨干单位，布局智能网络信息体系总体、安全可信智能基础平台、网络电磁空间智能技术、有人无人协同装备产品、微系统协同设计与基础前沿、大数据技术及应用等重要核心技术与业务方向，聚合国内外力量，开展原创技术联合攻关，推动集团公司智能科技整体跃升。</w:t>
            </w:r>
          </w:p>
        </w:tc>
      </w:tr>
      <w:tr w14:paraId="41037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0E236CD0">
            <w:pPr>
              <w:adjustRightInd w:val="0"/>
              <w:snapToGrid w:val="0"/>
              <w:ind w:firstLine="280" w:firstLineChars="100"/>
              <w:jc w:val="both"/>
              <w:rPr>
                <w:rFonts w:hint="eastAsia" w:ascii="楷体_GB2312" w:hAnsi="楷体_GB2312" w:eastAsia="楷体_GB2312" w:cs="楷体_GB2312"/>
                <w:bCs/>
                <w:color w:val="auto"/>
                <w:spacing w:val="6"/>
                <w:szCs w:val="28"/>
              </w:rPr>
            </w:pPr>
            <w:r>
              <w:rPr>
                <w:rFonts w:hint="eastAsia" w:ascii="楷体_GB2312" w:hAnsi="楷体_GB2312" w:eastAsia="楷体_GB2312" w:cs="楷体_GB2312"/>
                <w:color w:val="auto"/>
                <w:sz w:val="28"/>
                <w:szCs w:val="32"/>
                <w:lang w:val="en-US"/>
              </w:rPr>
              <w:t>联系人</w:t>
            </w:r>
          </w:p>
        </w:tc>
        <w:tc>
          <w:tcPr>
            <w:tcW w:w="3076" w:type="dxa"/>
            <w:vAlign w:val="center"/>
          </w:tcPr>
          <w:p w14:paraId="7014319D">
            <w:pPr>
              <w:adjustRightInd w:val="0"/>
              <w:snapToGrid w:val="0"/>
              <w:jc w:val="center"/>
              <w:rPr>
                <w:rFonts w:hint="default"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付博研</w:t>
            </w:r>
          </w:p>
        </w:tc>
        <w:tc>
          <w:tcPr>
            <w:tcW w:w="1073" w:type="dxa"/>
            <w:vAlign w:val="center"/>
          </w:tcPr>
          <w:p w14:paraId="378C2161">
            <w:pPr>
              <w:adjustRightInd w:val="0"/>
              <w:snapToGrid/>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职务</w:t>
            </w:r>
          </w:p>
        </w:tc>
        <w:tc>
          <w:tcPr>
            <w:tcW w:w="2783" w:type="dxa"/>
            <w:vAlign w:val="center"/>
          </w:tcPr>
          <w:p w14:paraId="03E1ACF5">
            <w:pPr>
              <w:adjustRightInd w:val="0"/>
              <w:snapToGrid/>
              <w:jc w:val="center"/>
              <w:rPr>
                <w:rFonts w:hint="default" w:ascii="Times New Roman" w:hAnsi="Times New Roman" w:eastAsia="方正仿宋简体" w:cs="Times New Roman"/>
                <w:color w:val="auto"/>
                <w:lang w:val="en-US" w:eastAsia="zh-CN"/>
              </w:rPr>
            </w:pPr>
            <w:r>
              <w:rPr>
                <w:rFonts w:hint="eastAsia" w:ascii="Times New Roman" w:hAnsi="Times New Roman" w:eastAsia="方正仿宋简体" w:cs="Times New Roman"/>
                <w:color w:val="auto"/>
                <w:lang w:val="en-US" w:eastAsia="zh-CN"/>
              </w:rPr>
              <w:t>/</w:t>
            </w:r>
          </w:p>
        </w:tc>
      </w:tr>
      <w:tr w14:paraId="697AB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4633CD08">
            <w:pPr>
              <w:adjustRightInd w:val="0"/>
              <w:snapToGrid w:val="0"/>
              <w:jc w:val="center"/>
              <w:rPr>
                <w:rFonts w:hint="eastAsia" w:ascii="楷体_GB2312" w:hAnsi="楷体_GB2312" w:eastAsia="楷体_GB2312" w:cs="楷体_GB2312"/>
                <w:bCs/>
                <w:color w:val="auto"/>
                <w:spacing w:val="6"/>
                <w:szCs w:val="28"/>
                <w:lang w:val="en-US" w:eastAsia="zh-CN"/>
              </w:rPr>
            </w:pPr>
            <w:r>
              <w:rPr>
                <w:rFonts w:hint="eastAsia" w:ascii="楷体_GB2312" w:hAnsi="楷体_GB2312" w:eastAsia="楷体_GB2312" w:cs="楷体_GB2312"/>
                <w:color w:val="auto"/>
                <w:sz w:val="28"/>
                <w:szCs w:val="32"/>
                <w:lang w:val="en-US" w:eastAsia="zh-CN"/>
              </w:rPr>
              <w:t>联系方式</w:t>
            </w:r>
          </w:p>
        </w:tc>
        <w:tc>
          <w:tcPr>
            <w:tcW w:w="3076" w:type="dxa"/>
            <w:vAlign w:val="center"/>
          </w:tcPr>
          <w:p w14:paraId="0DDD5D60">
            <w:pPr>
              <w:adjustRightInd w:val="0"/>
              <w:snapToGrid w:val="0"/>
              <w:jc w:val="center"/>
              <w:rPr>
                <w:rFonts w:hint="default"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18513916961</w:t>
            </w:r>
          </w:p>
        </w:tc>
        <w:tc>
          <w:tcPr>
            <w:tcW w:w="1073" w:type="dxa"/>
            <w:vAlign w:val="center"/>
          </w:tcPr>
          <w:p w14:paraId="066423AD">
            <w:pPr>
              <w:adjustRightInd w:val="0"/>
              <w:snapToGrid/>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微信</w:t>
            </w:r>
          </w:p>
        </w:tc>
        <w:tc>
          <w:tcPr>
            <w:tcW w:w="2783" w:type="dxa"/>
            <w:vAlign w:val="center"/>
          </w:tcPr>
          <w:p w14:paraId="121CD3E8">
            <w:pPr>
              <w:adjustRightInd w:val="0"/>
              <w:snapToGrid/>
              <w:jc w:val="center"/>
              <w:rPr>
                <w:rFonts w:hint="default" w:ascii="Times New Roman" w:hAnsi="Times New Roman" w:eastAsia="方正仿宋简体" w:cs="Times New Roman"/>
                <w:color w:val="auto"/>
                <w:lang w:val="en-US" w:eastAsia="zh-CN"/>
              </w:rPr>
            </w:pPr>
            <w:r>
              <w:rPr>
                <w:rFonts w:hint="eastAsia" w:ascii="Times New Roman" w:hAnsi="Times New Roman" w:eastAsia="方正仿宋简体" w:cs="Times New Roman"/>
                <w:color w:val="auto"/>
                <w:lang w:val="en-US" w:eastAsia="zh-CN"/>
              </w:rPr>
              <w:t>fby1ybf</w:t>
            </w:r>
          </w:p>
        </w:tc>
      </w:tr>
    </w:tbl>
    <w:p w14:paraId="49C44169">
      <w:pPr>
        <w:tabs>
          <w:tab w:val="left" w:pos="8640"/>
        </w:tabs>
        <w:adjustRightInd w:val="0"/>
        <w:snapToGrid w:val="0"/>
        <w:spacing w:line="560" w:lineRule="exact"/>
        <w:rPr>
          <w:rFonts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二、选题说明</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3D5ABB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657E5B2">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选题</w:t>
            </w:r>
            <w:r>
              <w:rPr>
                <w:rFonts w:hint="eastAsia" w:ascii="楷体_GB2312" w:hAnsi="楷体_GB2312" w:eastAsia="楷体_GB2312" w:cs="楷体_GB2312"/>
                <w:b w:val="0"/>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D4EAE89">
            <w:pPr>
              <w:adjustRightInd w:val="0"/>
              <w:snapToGrid w:val="0"/>
              <w:ind w:left="0" w:leftChars="0" w:firstLine="0" w:firstLineChars="0"/>
              <w:jc w:val="center"/>
              <w:rPr>
                <w:rFonts w:hint="eastAsia" w:ascii="仿宋_GB2312" w:hAnsi="仿宋_GB2312" w:eastAsia="仿宋_GB2312" w:cs="仿宋_GB2312"/>
                <w:b w:val="0"/>
                <w:color w:val="000000"/>
              </w:rPr>
            </w:pPr>
            <w:r>
              <w:rPr>
                <w:rFonts w:hint="eastAsia" w:ascii="仿宋_GB2312" w:hAnsi="仿宋_GB2312" w:eastAsia="仿宋_GB2312" w:cs="仿宋_GB2312"/>
                <w:b w:val="0"/>
                <w:bCs/>
                <w:color w:val="000000"/>
                <w:spacing w:val="6"/>
                <w:szCs w:val="28"/>
                <w:lang w:val="en-US" w:eastAsia="zh-CN"/>
              </w:rPr>
              <w:t>面向应急通信的</w:t>
            </w:r>
            <w:r>
              <w:rPr>
                <w:rFonts w:hint="eastAsia" w:ascii="仿宋_GB2312" w:hAnsi="仿宋_GB2312" w:eastAsia="仿宋_GB2312" w:cs="仿宋_GB2312"/>
                <w:b w:val="0"/>
                <w:bCs/>
                <w:color w:val="000000"/>
                <w:spacing w:val="6"/>
                <w:szCs w:val="28"/>
                <w:lang w:eastAsia="zh-CN"/>
              </w:rPr>
              <w:t>具身智能无人机通信组网技术</w:t>
            </w:r>
          </w:p>
        </w:tc>
      </w:tr>
      <w:tr w14:paraId="75AAF1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CAD2D34">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27BB03D">
            <w:pPr>
              <w:adjustRightInd w:val="0"/>
              <w:snapToGrid w:val="0"/>
              <w:ind w:left="0" w:leftChars="0" w:firstLine="0" w:firstLineChars="0"/>
              <w:jc w:val="center"/>
              <w:rPr>
                <w:rFonts w:hint="eastAsia" w:ascii="仿宋_GB2312" w:hAnsi="仿宋_GB2312" w:eastAsia="仿宋_GB2312" w:cs="仿宋_GB2312"/>
                <w:b w:val="0"/>
                <w:color w:val="000000"/>
              </w:rPr>
            </w:pPr>
            <w:r>
              <w:rPr>
                <w:rFonts w:hint="eastAsia" w:ascii="仿宋_GB2312" w:hAnsi="仿宋_GB2312" w:eastAsia="仿宋_GB2312" w:cs="仿宋_GB2312"/>
                <w:b w:val="0"/>
                <w:bCs/>
                <w:color w:val="000000"/>
                <w:spacing w:val="6"/>
                <w:szCs w:val="28"/>
                <w:lang w:val="en-US" w:eastAsia="zh-CN"/>
              </w:rPr>
              <w:t>人工智能、具身智能与机器人</w:t>
            </w:r>
          </w:p>
        </w:tc>
      </w:tr>
      <w:tr w14:paraId="66841C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C1B555A">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4BF0311">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在暴雨洪涝、地震滑坡、深山救援等极端场景中，面临“断路、断电、断网”的“三断”困境，快速构建稳定可靠的应急通信网络，是保障救援指令畅通、挽救生命财产的关键和前提。无人机以其快速响应、灵活部署、韧性组网等优势，在构建应急通信网络中发挥了重要作用，工信部、应急管理部颁布的有关规范和标准中，都已将无人机作为应急通信的重要手段。与此同时，“具身智能”成为目前人工智能技术发展的重要演进方向，具备感知、认知、决策、行动能力于一体的具身智能无人机，将极大提升无人机的智能化、自主化程度和任务执行效率，是未来产业发展的重要方向，也是当前众多企业发展和角逐的热点。</w:t>
            </w:r>
          </w:p>
          <w:p w14:paraId="0D9FF7A0">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面向应急通信应用领域，当前具身智能无人机在功能设计、应用模式、快速组网方法、自主控制智能算法等方面还有待进一步创新和突破。本赛题要求参赛团队围绕场景、功能、组网、算法等问题开展设计，打造可行的产业化解决方案，推动产业发展和应用。</w:t>
            </w:r>
          </w:p>
        </w:tc>
      </w:tr>
      <w:tr w14:paraId="3D727F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0E5713D">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A2C943D">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本赛题要求参赛团队面向应急通信组网应用需求，围绕具身智能无人机的应用场景、功能、组网方式、控制算法等内容开展设计，形成可行的产业化解决方案，提交完整书面技术报告，涵盖以下内容：</w:t>
            </w:r>
          </w:p>
          <w:p w14:paraId="130D1848">
            <w:pPr>
              <w:numPr>
                <w:ilvl w:val="0"/>
                <w:numId w:val="0"/>
              </w:num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（1）基于具身智能无人机的应急通信组网典型应用场景，以及通信业务需求及特点；</w:t>
            </w:r>
          </w:p>
          <w:p w14:paraId="4E6894C9">
            <w:pPr>
              <w:numPr>
                <w:ilvl w:val="0"/>
                <w:numId w:val="0"/>
              </w:num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（2）面向应急通信的具身智能无人机主要功能设计，以及无人机结构组成设计；</w:t>
            </w:r>
          </w:p>
          <w:p w14:paraId="45F85489">
            <w:pPr>
              <w:numPr>
                <w:ilvl w:val="0"/>
                <w:numId w:val="0"/>
              </w:num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（3）面向应急通信的具身智能无人机通信组网方法设计，说明典型应用场景下的网络快速构建、网络适变方法，以及无人机应用模式等；</w:t>
            </w:r>
          </w:p>
          <w:p w14:paraId="2C1AAF27">
            <w:pPr>
              <w:numPr>
                <w:ilvl w:val="0"/>
                <w:numId w:val="0"/>
              </w:num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（4）特定典型应用场景下具身智能无人机的自主智能控制算法设计，说明算法方案以及性能仿真结果。</w:t>
            </w:r>
          </w:p>
          <w:p w14:paraId="6D2574F2">
            <w:pPr>
              <w:numPr>
                <w:ilvl w:val="0"/>
                <w:numId w:val="0"/>
              </w:num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参赛团队应严格按照组委会要求的时限向组委会提交作品报告，报告内容应完整规范，作品将依据设计方案的完整性、可行性和创新性等指标展开评判。</w:t>
            </w:r>
          </w:p>
        </w:tc>
      </w:tr>
      <w:tr w14:paraId="482F0F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B7D753">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rPr>
              <w:t>作品</w:t>
            </w:r>
            <w:r>
              <w:rPr>
                <w:rFonts w:hint="eastAsia" w:ascii="楷体_GB2312" w:hAnsi="楷体_GB2312" w:eastAsia="楷体_GB2312" w:cs="楷体_GB2312"/>
                <w:b w:val="0"/>
                <w:color w:val="000000"/>
                <w:sz w:val="28"/>
                <w:szCs w:val="28"/>
                <w:u w:val="none"/>
                <w:lang w:eastAsia="zh-CN"/>
              </w:rPr>
              <w:t>评审</w:t>
            </w:r>
          </w:p>
          <w:p w14:paraId="3FF74B6B">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9E8E97">
            <w:pPr>
              <w:numPr>
                <w:ilvl w:val="0"/>
                <w:numId w:val="3"/>
              </w:num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作品完整性：40 分</w:t>
            </w:r>
          </w:p>
          <w:p w14:paraId="74D77D51">
            <w:pPr>
              <w:overflowPunct w:val="0"/>
              <w:adjustRightInd w:val="0"/>
              <w:snapToGrid w:val="0"/>
              <w:ind w:firstLine="504" w:firstLineChars="200"/>
              <w:jc w:val="both"/>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独立</w:t>
            </w:r>
            <w:r>
              <w:rPr>
                <w:rFonts w:hint="eastAsia" w:ascii="仿宋_GB2312" w:hAnsi="仿宋_GB2312" w:eastAsia="仿宋_GB2312" w:cs="仿宋_GB2312"/>
                <w:b w:val="0"/>
                <w:bCs/>
                <w:color w:val="000000"/>
                <w:spacing w:val="6"/>
                <w:szCs w:val="28"/>
                <w:u w:val="none"/>
                <w:lang w:val="en-US" w:eastAsia="zh-CN"/>
              </w:rPr>
              <w:t>设计</w:t>
            </w:r>
            <w:r>
              <w:rPr>
                <w:rFonts w:hint="eastAsia" w:ascii="仿宋_GB2312" w:hAnsi="仿宋_GB2312" w:eastAsia="仿宋_GB2312" w:cs="仿宋_GB2312"/>
                <w:b w:val="0"/>
                <w:bCs/>
                <w:color w:val="000000"/>
                <w:spacing w:val="6"/>
                <w:szCs w:val="28"/>
                <w:u w:val="none"/>
              </w:rPr>
              <w:t>并完成</w:t>
            </w:r>
            <w:r>
              <w:rPr>
                <w:rFonts w:hint="eastAsia" w:ascii="仿宋_GB2312" w:hAnsi="仿宋_GB2312" w:eastAsia="仿宋_GB2312" w:cs="仿宋_GB2312"/>
                <w:b w:val="0"/>
                <w:bCs/>
                <w:color w:val="000000"/>
                <w:spacing w:val="6"/>
                <w:szCs w:val="28"/>
                <w:lang w:val="en-US" w:eastAsia="zh-CN"/>
              </w:rPr>
              <w:t>具身智能无人机通信组网设计技术方案，涵盖场景、功能、组网、算法等设计内容，根据各部分内容的详细及完整程度</w:t>
            </w:r>
            <w:r>
              <w:rPr>
                <w:rFonts w:hint="eastAsia" w:ascii="仿宋_GB2312" w:hAnsi="仿宋_GB2312" w:eastAsia="仿宋_GB2312" w:cs="仿宋_GB2312"/>
                <w:b w:val="0"/>
                <w:bCs/>
                <w:color w:val="000000"/>
                <w:spacing w:val="6"/>
                <w:szCs w:val="28"/>
                <w:u w:val="none"/>
              </w:rPr>
              <w:t>给予评定</w:t>
            </w:r>
            <w:r>
              <w:rPr>
                <w:rFonts w:hint="eastAsia" w:ascii="仿宋_GB2312" w:hAnsi="仿宋_GB2312" w:eastAsia="仿宋_GB2312" w:cs="仿宋_GB2312"/>
                <w:b w:val="0"/>
                <w:bCs/>
                <w:color w:val="000000"/>
                <w:spacing w:val="6"/>
                <w:szCs w:val="28"/>
                <w:u w:val="none"/>
                <w:lang w:eastAsia="zh-CN"/>
              </w:rPr>
              <w:t>，</w:t>
            </w:r>
            <w:r>
              <w:rPr>
                <w:rFonts w:hint="eastAsia" w:ascii="仿宋_GB2312" w:hAnsi="仿宋_GB2312" w:eastAsia="仿宋_GB2312" w:cs="仿宋_GB2312"/>
                <w:b w:val="0"/>
                <w:bCs/>
                <w:color w:val="000000"/>
                <w:spacing w:val="6"/>
                <w:szCs w:val="28"/>
                <w:u w:val="none"/>
              </w:rPr>
              <w:t>综合评定0-</w:t>
            </w:r>
            <w:r>
              <w:rPr>
                <w:rFonts w:hint="eastAsia" w:ascii="仿宋_GB2312" w:hAnsi="仿宋_GB2312" w:eastAsia="仿宋_GB2312" w:cs="仿宋_GB2312"/>
                <w:b w:val="0"/>
                <w:bCs/>
                <w:color w:val="000000"/>
                <w:spacing w:val="6"/>
                <w:szCs w:val="28"/>
                <w:u w:val="none"/>
                <w:lang w:val="en-US" w:eastAsia="zh-CN"/>
              </w:rPr>
              <w:t>40</w:t>
            </w:r>
            <w:r>
              <w:rPr>
                <w:rFonts w:hint="eastAsia" w:ascii="仿宋_GB2312" w:hAnsi="仿宋_GB2312" w:eastAsia="仿宋_GB2312" w:cs="仿宋_GB2312"/>
                <w:b w:val="0"/>
                <w:bCs/>
                <w:color w:val="000000"/>
                <w:spacing w:val="6"/>
                <w:szCs w:val="28"/>
                <w:u w:val="none"/>
              </w:rPr>
              <w:t>分。</w:t>
            </w:r>
          </w:p>
          <w:p w14:paraId="526D39D6">
            <w:pPr>
              <w:overflowPunct w:val="0"/>
              <w:adjustRightInd w:val="0"/>
              <w:snapToGrid w:val="0"/>
              <w:ind w:firstLine="504" w:firstLineChars="200"/>
              <w:jc w:val="both"/>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 xml:space="preserve">2. </w:t>
            </w:r>
            <w:r>
              <w:rPr>
                <w:rFonts w:hint="eastAsia" w:ascii="仿宋_GB2312" w:hAnsi="仿宋_GB2312" w:eastAsia="仿宋_GB2312" w:cs="仿宋_GB2312"/>
                <w:b w:val="0"/>
                <w:bCs/>
                <w:color w:val="000000"/>
                <w:spacing w:val="6"/>
                <w:szCs w:val="28"/>
                <w:u w:val="none"/>
                <w:lang w:val="en-US" w:eastAsia="zh-CN"/>
              </w:rPr>
              <w:t>应用可行性</w:t>
            </w:r>
            <w:r>
              <w:rPr>
                <w:rFonts w:hint="eastAsia" w:ascii="仿宋_GB2312" w:hAnsi="仿宋_GB2312" w:eastAsia="仿宋_GB2312" w:cs="仿宋_GB2312"/>
                <w:b w:val="0"/>
                <w:bCs/>
                <w:color w:val="000000"/>
                <w:spacing w:val="6"/>
                <w:szCs w:val="28"/>
                <w:u w:val="none"/>
              </w:rPr>
              <w:t>：</w:t>
            </w:r>
            <w:r>
              <w:rPr>
                <w:rFonts w:hint="eastAsia" w:ascii="仿宋_GB2312" w:hAnsi="仿宋_GB2312" w:eastAsia="仿宋_GB2312" w:cs="仿宋_GB2312"/>
                <w:b w:val="0"/>
                <w:bCs/>
                <w:color w:val="000000"/>
                <w:spacing w:val="6"/>
                <w:szCs w:val="28"/>
                <w:u w:val="none"/>
                <w:lang w:val="en-US" w:eastAsia="zh-CN"/>
              </w:rPr>
              <w:t>25</w:t>
            </w:r>
            <w:r>
              <w:rPr>
                <w:rFonts w:hint="eastAsia" w:ascii="仿宋_GB2312" w:hAnsi="仿宋_GB2312" w:eastAsia="仿宋_GB2312" w:cs="仿宋_GB2312"/>
                <w:b w:val="0"/>
                <w:bCs/>
                <w:color w:val="000000"/>
                <w:spacing w:val="6"/>
                <w:szCs w:val="28"/>
                <w:u w:val="none"/>
              </w:rPr>
              <w:t xml:space="preserve"> 分</w:t>
            </w:r>
          </w:p>
          <w:p w14:paraId="2D9C339E">
            <w:pPr>
              <w:overflowPunct w:val="0"/>
              <w:adjustRightInd w:val="0"/>
              <w:snapToGrid w:val="0"/>
              <w:ind w:firstLine="504" w:firstLineChars="200"/>
              <w:jc w:val="both"/>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根据作品</w:t>
            </w:r>
            <w:r>
              <w:rPr>
                <w:rFonts w:hint="eastAsia" w:ascii="仿宋_GB2312" w:hAnsi="仿宋_GB2312" w:eastAsia="仿宋_GB2312" w:cs="仿宋_GB2312"/>
                <w:b w:val="0"/>
                <w:bCs/>
                <w:color w:val="000000"/>
                <w:spacing w:val="6"/>
                <w:szCs w:val="28"/>
                <w:u w:val="none"/>
                <w:lang w:val="en-US" w:eastAsia="zh-CN"/>
              </w:rPr>
              <w:t>技术方案的功能可实现性、场景适用性、组网灵活性、适用广泛性及技术成熟度等</w:t>
            </w:r>
            <w:r>
              <w:rPr>
                <w:rFonts w:hint="eastAsia" w:ascii="仿宋_GB2312" w:hAnsi="仿宋_GB2312" w:eastAsia="仿宋_GB2312" w:cs="仿宋_GB2312"/>
                <w:b w:val="0"/>
                <w:bCs/>
                <w:color w:val="000000"/>
                <w:spacing w:val="6"/>
                <w:szCs w:val="28"/>
                <w:u w:val="none"/>
              </w:rPr>
              <w:t>给予评定，综合评定0-</w:t>
            </w:r>
            <w:r>
              <w:rPr>
                <w:rFonts w:hint="eastAsia" w:ascii="仿宋_GB2312" w:hAnsi="仿宋_GB2312" w:eastAsia="仿宋_GB2312" w:cs="仿宋_GB2312"/>
                <w:b w:val="0"/>
                <w:bCs/>
                <w:color w:val="000000"/>
                <w:spacing w:val="6"/>
                <w:szCs w:val="28"/>
                <w:u w:val="none"/>
                <w:lang w:val="en-US" w:eastAsia="zh-CN"/>
              </w:rPr>
              <w:t>25</w:t>
            </w:r>
            <w:r>
              <w:rPr>
                <w:rFonts w:hint="eastAsia" w:ascii="仿宋_GB2312" w:hAnsi="仿宋_GB2312" w:eastAsia="仿宋_GB2312" w:cs="仿宋_GB2312"/>
                <w:b w:val="0"/>
                <w:bCs/>
                <w:color w:val="000000"/>
                <w:spacing w:val="6"/>
                <w:szCs w:val="28"/>
                <w:u w:val="none"/>
              </w:rPr>
              <w:t>分。</w:t>
            </w:r>
          </w:p>
          <w:p w14:paraId="08A3BA90">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3. 技术创新性：20 分</w:t>
            </w:r>
          </w:p>
          <w:p w14:paraId="4D8D576A">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lang w:val="en-US" w:eastAsia="zh-CN"/>
              </w:rPr>
              <w:t>根据</w:t>
            </w:r>
            <w:r>
              <w:rPr>
                <w:rFonts w:hint="eastAsia" w:ascii="仿宋_GB2312" w:hAnsi="仿宋_GB2312" w:eastAsia="仿宋_GB2312" w:cs="仿宋_GB2312"/>
                <w:b w:val="0"/>
                <w:bCs/>
                <w:color w:val="000000"/>
                <w:spacing w:val="6"/>
                <w:szCs w:val="28"/>
                <w:u w:val="none"/>
              </w:rPr>
              <w:t>作品在</w:t>
            </w:r>
            <w:r>
              <w:rPr>
                <w:rFonts w:hint="eastAsia" w:ascii="仿宋_GB2312" w:hAnsi="仿宋_GB2312" w:eastAsia="仿宋_GB2312" w:cs="仿宋_GB2312"/>
                <w:b w:val="0"/>
                <w:bCs/>
                <w:color w:val="000000"/>
                <w:spacing w:val="6"/>
                <w:szCs w:val="28"/>
                <w:u w:val="none"/>
                <w:lang w:val="en-US" w:eastAsia="zh-CN"/>
              </w:rPr>
              <w:t>组网模式、控制算法等方面技术的原创性、创新性</w:t>
            </w:r>
            <w:r>
              <w:rPr>
                <w:rFonts w:hint="eastAsia" w:ascii="仿宋_GB2312" w:hAnsi="仿宋_GB2312" w:eastAsia="仿宋_GB2312" w:cs="仿宋_GB2312"/>
                <w:b w:val="0"/>
                <w:bCs/>
                <w:color w:val="000000"/>
                <w:spacing w:val="6"/>
                <w:szCs w:val="28"/>
                <w:u w:val="none"/>
              </w:rPr>
              <w:t>给予评定，综合评定0-20分。</w:t>
            </w:r>
          </w:p>
          <w:p w14:paraId="512F92BB">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4. 系统性能：1</w:t>
            </w:r>
            <w:r>
              <w:rPr>
                <w:rFonts w:hint="eastAsia" w:ascii="仿宋_GB2312" w:hAnsi="仿宋_GB2312" w:eastAsia="仿宋_GB2312" w:cs="仿宋_GB2312"/>
                <w:b w:val="0"/>
                <w:bCs/>
                <w:color w:val="000000"/>
                <w:spacing w:val="6"/>
                <w:szCs w:val="28"/>
                <w:u w:val="none"/>
                <w:lang w:val="en-US" w:eastAsia="zh-CN"/>
              </w:rPr>
              <w:t>5</w:t>
            </w:r>
            <w:r>
              <w:rPr>
                <w:rFonts w:hint="eastAsia" w:ascii="仿宋_GB2312" w:hAnsi="仿宋_GB2312" w:eastAsia="仿宋_GB2312" w:cs="仿宋_GB2312"/>
                <w:b w:val="0"/>
                <w:bCs/>
                <w:color w:val="000000"/>
                <w:spacing w:val="6"/>
                <w:szCs w:val="28"/>
                <w:u w:val="none"/>
              </w:rPr>
              <w:t xml:space="preserve"> 分</w:t>
            </w:r>
          </w:p>
          <w:p w14:paraId="0F0973D2">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根据</w:t>
            </w:r>
            <w:r>
              <w:rPr>
                <w:rFonts w:hint="eastAsia" w:ascii="仿宋_GB2312" w:hAnsi="仿宋_GB2312" w:eastAsia="仿宋_GB2312" w:cs="仿宋_GB2312"/>
                <w:b w:val="0"/>
                <w:bCs/>
                <w:color w:val="000000"/>
                <w:spacing w:val="6"/>
                <w:szCs w:val="28"/>
                <w:u w:val="none"/>
                <w:lang w:val="en-US" w:eastAsia="zh-CN"/>
              </w:rPr>
              <w:t>算法仿真评估的规范性、仿真得到的通信组网性能效果等</w:t>
            </w:r>
            <w:r>
              <w:rPr>
                <w:rFonts w:hint="eastAsia" w:ascii="仿宋_GB2312" w:hAnsi="仿宋_GB2312" w:eastAsia="仿宋_GB2312" w:cs="仿宋_GB2312"/>
                <w:b w:val="0"/>
                <w:bCs/>
                <w:color w:val="000000"/>
                <w:spacing w:val="6"/>
                <w:szCs w:val="28"/>
                <w:u w:val="none"/>
              </w:rPr>
              <w:t>给予评定，综合评定0-1</w:t>
            </w:r>
            <w:r>
              <w:rPr>
                <w:rFonts w:hint="eastAsia" w:ascii="仿宋_GB2312" w:hAnsi="仿宋_GB2312" w:eastAsia="仿宋_GB2312" w:cs="仿宋_GB2312"/>
                <w:b w:val="0"/>
                <w:bCs/>
                <w:color w:val="000000"/>
                <w:spacing w:val="6"/>
                <w:szCs w:val="28"/>
                <w:u w:val="none"/>
                <w:lang w:val="en-US" w:eastAsia="zh-CN"/>
              </w:rPr>
              <w:t>5</w:t>
            </w:r>
            <w:r>
              <w:rPr>
                <w:rFonts w:hint="eastAsia" w:ascii="仿宋_GB2312" w:hAnsi="仿宋_GB2312" w:eastAsia="仿宋_GB2312" w:cs="仿宋_GB2312"/>
                <w:b w:val="0"/>
                <w:bCs/>
                <w:color w:val="000000"/>
                <w:spacing w:val="6"/>
                <w:szCs w:val="28"/>
                <w:u w:val="none"/>
              </w:rPr>
              <w:t>分。</w:t>
            </w:r>
          </w:p>
        </w:tc>
      </w:tr>
      <w:tr w14:paraId="07ED38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0B808CB">
            <w:pPr>
              <w:overflowPunct w:val="0"/>
              <w:adjustRightInd w:val="0"/>
              <w:snapToGrid w:val="0"/>
              <w:spacing w:line="240" w:lineRule="auto"/>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u w:val="none"/>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1731A8C">
            <w:pPr>
              <w:overflowPunct w:val="0"/>
              <w:adjustRightInd w:val="0"/>
              <w:snapToGrid w:val="0"/>
              <w:ind w:firstLine="480" w:firstLineChars="200"/>
              <w:rPr>
                <w:rFonts w:hint="eastAsia" w:ascii="仿宋_GB2312" w:hAnsi="仿宋_GB2312" w:eastAsia="仿宋_GB2312" w:cs="仿宋_GB2312"/>
                <w:b w:val="0"/>
                <w:bCs/>
                <w:color w:val="000000"/>
                <w:spacing w:val="6"/>
                <w:szCs w:val="28"/>
                <w:lang w:eastAsia="zh-CN"/>
              </w:rPr>
            </w:pPr>
            <w:r>
              <w:rPr>
                <w:rFonts w:hint="eastAsia" w:ascii="仿宋_GB2312" w:hAnsi="仿宋_GB2312" w:eastAsia="仿宋_GB2312" w:cs="仿宋_GB2312"/>
                <w:b w:val="0"/>
                <w:color w:val="000000"/>
                <w:u w:val="none"/>
                <w:lang w:val="en-US" w:eastAsia="zh-CN"/>
              </w:rPr>
              <w:t>无。</w:t>
            </w:r>
          </w:p>
        </w:tc>
      </w:tr>
    </w:tbl>
    <w:p w14:paraId="2253DC4F">
      <w:pPr>
        <w:adjustRightInd/>
        <w:snapToGrid/>
        <w:rPr>
          <w:rFonts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三、激励保障</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081FD7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2414"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992E9D5">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保障</w:t>
            </w:r>
            <w:r>
              <w:rPr>
                <w:rFonts w:hint="eastAsia" w:ascii="楷体_GB2312" w:hAnsi="楷体_GB2312" w:eastAsia="楷体_GB2312" w:cs="楷体_GB2312"/>
                <w:b w:val="0"/>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E6E1109">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本单位在参赛团队完成相关审核等程序后，可提供参观企业的机会。本单位将为此次比赛组建专业指导团队，指导团队将由出题单位专家组成，配备专门指导人员，为参赛团队项目提供指导和咨询，参赛团队可以在参赛期间的工作时段通过电话进行咨询。协助参赛团队发掘产研转化的潜力与机会，推动成果转化应用以及团队创新创业。</w:t>
            </w:r>
          </w:p>
        </w:tc>
      </w:tr>
      <w:tr w14:paraId="736168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6120"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852EC7F">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3ECD8A1">
            <w:pPr>
              <w:numPr>
                <w:ilvl w:val="0"/>
                <w:numId w:val="0"/>
              </w:num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一、奖项设置</w:t>
            </w:r>
          </w:p>
          <w:p w14:paraId="1E89B1EB">
            <w:pPr>
              <w:numPr>
                <w:ilvl w:val="0"/>
                <w:numId w:val="0"/>
              </w:num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原则上设“擂主”团队1个，根据实际情况评出相应的特等奖、一等奖、二等奖、三等奖项目若干。在获得特等奖的团队中选择一个作为“擂主”团队，进行后期的创业实践或科研攻关。</w:t>
            </w:r>
          </w:p>
          <w:p w14:paraId="0314B072">
            <w:pPr>
              <w:numPr>
                <w:ilvl w:val="0"/>
                <w:numId w:val="0"/>
              </w:num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二、激励措施</w:t>
            </w:r>
          </w:p>
          <w:p w14:paraId="250DACCB">
            <w:pPr>
              <w:numPr>
                <w:ilvl w:val="0"/>
                <w:numId w:val="0"/>
              </w:num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1.本榜题将结合实际获奖情况给予适度奖金奖励；</w:t>
            </w:r>
          </w:p>
          <w:p w14:paraId="756510C2">
            <w:pPr>
              <w:numPr>
                <w:ilvl w:val="0"/>
                <w:numId w:val="0"/>
              </w:num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2.“擂主”团队可以获得相关领域的科研及实践指导，持续完善技术创新、学术成果与知识产权成果；</w:t>
            </w:r>
          </w:p>
          <w:p w14:paraId="78820EE9">
            <w:pPr>
              <w:numPr>
                <w:ilvl w:val="0"/>
                <w:numId w:val="0"/>
              </w:num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3.为获奖团队提供实习实践优先机会，应届毕业生参加本单位招聘时，符合应聘条件者，直通进入面试环节，同等条件下可优先录用；</w:t>
            </w:r>
          </w:p>
          <w:p w14:paraId="44C6833D">
            <w:pPr>
              <w:numPr>
                <w:ilvl w:val="0"/>
                <w:numId w:val="0"/>
              </w:num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eastAsia="zh-CN"/>
              </w:rPr>
              <w:t>4.为获奖团队颁发奖杯和证书，在宣传推广、培训指导、交流展示、人才招聘、创投对接等方面给予优先扶持。</w:t>
            </w:r>
          </w:p>
        </w:tc>
      </w:tr>
    </w:tbl>
    <w:p w14:paraId="265A98F4">
      <w:pPr>
        <w:tabs>
          <w:tab w:val="left" w:pos="8640"/>
        </w:tabs>
        <w:adjustRightInd w:val="0"/>
        <w:snapToGrid w:val="0"/>
        <w:spacing w:line="560" w:lineRule="exact"/>
        <w:rPr>
          <w:rFonts w:hint="default" w:ascii="方正黑体简体" w:eastAsia="方正黑体简体"/>
          <w:bCs/>
          <w:color w:val="auto"/>
          <w:spacing w:val="6"/>
          <w:sz w:val="32"/>
          <w:szCs w:val="32"/>
          <w:lang w:val="en-US" w:eastAsia="zh-CN"/>
        </w:rPr>
      </w:pPr>
      <w:r>
        <w:rPr>
          <w:rFonts w:hint="eastAsia" w:ascii="方正黑体简体" w:eastAsia="方正黑体简体"/>
          <w:bCs/>
          <w:color w:val="auto"/>
          <w:spacing w:val="6"/>
          <w:sz w:val="32"/>
          <w:szCs w:val="32"/>
          <w:lang w:val="en-US" w:eastAsia="zh-CN"/>
        </w:rPr>
        <w:t>四、选题意义</w:t>
      </w:r>
    </w:p>
    <w:tbl>
      <w:tblPr>
        <w:tblStyle w:val="1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0659FB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590AD8CF">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18C5C1">
            <w:pPr>
              <w:overflowPunct w:val="0"/>
              <w:adjustRightInd w:val="0"/>
              <w:snapToGrid w:val="0"/>
              <w:ind w:firstLine="504" w:firstLineChars="200"/>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u w:val="none"/>
                <w:lang w:val="en-US" w:eastAsia="zh-CN"/>
              </w:rPr>
              <w:t>具身智能无人机通信组网技术融合</w:t>
            </w:r>
            <w:r>
              <w:rPr>
                <w:rFonts w:hint="eastAsia" w:ascii="仿宋_GB2312" w:hAnsi="仿宋_GB2312" w:eastAsia="仿宋_GB2312" w:cs="仿宋_GB2312"/>
                <w:b w:val="0"/>
                <w:bCs/>
                <w:color w:val="000000"/>
                <w:spacing w:val="6"/>
                <w:szCs w:val="28"/>
                <w:u w:val="none"/>
              </w:rPr>
              <w:t>人工智能、通信网络、</w:t>
            </w:r>
            <w:r>
              <w:rPr>
                <w:rFonts w:hint="eastAsia" w:ascii="仿宋_GB2312" w:hAnsi="仿宋_GB2312" w:eastAsia="仿宋_GB2312" w:cs="仿宋_GB2312"/>
                <w:b w:val="0"/>
                <w:bCs/>
                <w:color w:val="000000"/>
                <w:spacing w:val="6"/>
                <w:szCs w:val="28"/>
                <w:u w:val="none"/>
                <w:lang w:val="en-US" w:eastAsia="zh-CN"/>
              </w:rPr>
              <w:t>无人机</w:t>
            </w:r>
            <w:r>
              <w:rPr>
                <w:rFonts w:hint="eastAsia" w:ascii="仿宋_GB2312" w:hAnsi="仿宋_GB2312" w:eastAsia="仿宋_GB2312" w:cs="仿宋_GB2312"/>
                <w:b w:val="0"/>
                <w:bCs/>
                <w:color w:val="000000"/>
                <w:spacing w:val="6"/>
                <w:szCs w:val="28"/>
                <w:u w:val="none"/>
              </w:rPr>
              <w:t>三</w:t>
            </w:r>
            <w:r>
              <w:rPr>
                <w:rFonts w:hint="eastAsia" w:ascii="仿宋_GB2312" w:hAnsi="仿宋_GB2312" w:eastAsia="仿宋_GB2312" w:cs="仿宋_GB2312"/>
                <w:b w:val="0"/>
                <w:bCs/>
                <w:color w:val="000000"/>
                <w:spacing w:val="6"/>
                <w:szCs w:val="28"/>
                <w:u w:val="none"/>
                <w:lang w:val="en-US" w:eastAsia="zh-CN"/>
              </w:rPr>
              <w:t>大核心领域，通过该技术的发展有助于推动实现上述核心领域的交叉集成创新，构建“感知-决策-通信-行动”于一体的智能应急新范式，解决应急通信网络智能化、自主化的重大问题与需求。目前具身智能是人工智能领域的重要演进方向，</w:t>
            </w:r>
            <w:r>
              <w:rPr>
                <w:rFonts w:hint="eastAsia" w:ascii="仿宋_GB2312" w:hAnsi="仿宋_GB2312" w:eastAsia="仿宋_GB2312" w:cs="仿宋_GB2312"/>
                <w:b w:val="0"/>
                <w:bCs/>
                <w:color w:val="000000"/>
                <w:spacing w:val="6"/>
                <w:szCs w:val="28"/>
                <w:u w:val="none"/>
              </w:rPr>
              <w:t>被视为新一轮科技革命与产业变革的核心引擎，</w:t>
            </w:r>
            <w:r>
              <w:rPr>
                <w:rFonts w:hint="eastAsia" w:ascii="仿宋_GB2312" w:hAnsi="仿宋_GB2312" w:eastAsia="仿宋_GB2312" w:cs="仿宋_GB2312"/>
                <w:b w:val="0"/>
                <w:bCs/>
                <w:color w:val="000000"/>
                <w:spacing w:val="6"/>
                <w:szCs w:val="28"/>
                <w:u w:val="none"/>
                <w:lang w:val="en-US" w:eastAsia="zh-CN"/>
              </w:rPr>
              <w:t>通过开展在应急通信复杂极端场景下具身智能技术的探索和应用实践，有助于推动解决算法核心难题、提升我国在这一</w:t>
            </w:r>
            <w:r>
              <w:rPr>
                <w:rFonts w:hint="eastAsia" w:ascii="仿宋_GB2312" w:hAnsi="仿宋_GB2312" w:eastAsia="仿宋_GB2312" w:cs="仿宋_GB2312"/>
                <w:b w:val="0"/>
                <w:bCs/>
                <w:color w:val="000000"/>
                <w:spacing w:val="6"/>
                <w:szCs w:val="28"/>
                <w:u w:val="none"/>
              </w:rPr>
              <w:t>关键前沿</w:t>
            </w:r>
            <w:r>
              <w:rPr>
                <w:rFonts w:hint="eastAsia" w:ascii="仿宋_GB2312" w:hAnsi="仿宋_GB2312" w:eastAsia="仿宋_GB2312" w:cs="仿宋_GB2312"/>
                <w:b w:val="0"/>
                <w:bCs/>
                <w:color w:val="000000"/>
                <w:spacing w:val="6"/>
                <w:szCs w:val="28"/>
                <w:u w:val="none"/>
                <w:lang w:val="en-US" w:eastAsia="zh-CN"/>
              </w:rPr>
              <w:t>技术领域的竞争力。通过攻克具身智能与自主通信组网的共性技术瓶颈、推动无人机从“飞行平台”到“智能节点”演进，以及集群协同技术发展，有助于打造平战结合、韧性可靠的下一代应急通信体系基础，进一步加强我国在无人机及通信技术领域的优势与竞争力。</w:t>
            </w:r>
          </w:p>
        </w:tc>
      </w:tr>
      <w:tr w14:paraId="655E91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C6360A">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789823">
            <w:pPr>
              <w:overflowPunct w:val="0"/>
              <w:adjustRightInd w:val="0"/>
              <w:snapToGrid w:val="0"/>
              <w:ind w:firstLine="504" w:firstLineChars="200"/>
              <w:jc w:val="both"/>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lang w:val="en-US" w:eastAsia="zh-CN"/>
              </w:rPr>
              <w:t>目前应急通信网络已成为国家应急管理和安全体系的重要组成部分，</w:t>
            </w:r>
            <w:r>
              <w:rPr>
                <w:rFonts w:hint="eastAsia" w:ascii="仿宋_GB2312" w:hAnsi="仿宋_GB2312" w:eastAsia="仿宋_GB2312" w:cs="仿宋_GB2312"/>
                <w:b w:val="0"/>
                <w:bCs/>
                <w:color w:val="000000"/>
                <w:spacing w:val="6"/>
                <w:szCs w:val="28"/>
                <w:u w:val="none"/>
                <w:lang w:val="en-US" w:eastAsia="zh-CN"/>
              </w:rPr>
              <w:t>工信部、应急管理部等部门也已出台一系列指导性文件，旨在推动应急通信网络的技术创新和应用、提升智能化水平和可靠性。基于具身智能无人机打造智能化、自主化、调度灵活、适应力强的应急通信网络，可大幅提升灾情响应速度与救援效率、保障群众生命安全、显著降低灾害总体经济损失，赋能应急管理新质生产力发展、提升国家应急管理体系和能力现代化水平。同时，应急通信具身智能无人机的落地与应用，有助于带动具身智能、无人机及通信等重要行业的产业链融合升级，打造高端融合生态、创造新的高附加值产业链，取得显著经济与社会效益。</w:t>
            </w:r>
          </w:p>
        </w:tc>
      </w:tr>
    </w:tbl>
    <w:p w14:paraId="4D42117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楷体_GB2312" w:hAnsi="楷体_GB2312" w:eastAsia="楷体_GB2312" w:cs="楷体_GB2312"/>
          <w:color w:val="auto"/>
          <w:lang w:val="en-US" w:eastAsia="zh-CN"/>
        </w:rPr>
      </w:pPr>
    </w:p>
    <w:p w14:paraId="1FB07318">
      <w:pPr>
        <w:rPr>
          <w:rFonts w:hint="eastAsia" w:ascii="Times New Roman" w:hAnsi="Times New Roman" w:eastAsia="方正小标宋简体" w:cs="方正小标宋简体"/>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br w:type="page"/>
      </w:r>
    </w:p>
    <w:p w14:paraId="2B83683D">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“青智未来”新质生产力</w:t>
      </w:r>
      <w:r>
        <w:rPr>
          <w:rFonts w:hint="default" w:ascii="Times New Roman" w:hAnsi="Times New Roman" w:eastAsia="方正小标宋简体" w:cs="Times New Roman"/>
          <w:b w:val="0"/>
          <w:bCs/>
          <w:kern w:val="2"/>
          <w:sz w:val="44"/>
          <w:szCs w:val="32"/>
          <w:highlight w:val="none"/>
          <w:lang w:val="en-US" w:eastAsia="zh-CN"/>
        </w:rPr>
        <w:t>专项赛</w:t>
      </w:r>
    </w:p>
    <w:p w14:paraId="7970E6AF">
      <w:pPr>
        <w:keepNext w:val="0"/>
        <w:keepLines w:val="0"/>
        <w:pageBreakBefore w:val="0"/>
        <w:widowControl w:val="0"/>
        <w:tabs>
          <w:tab w:val="left" w:pos="8640"/>
        </w:tabs>
        <w:kinsoku/>
        <w:wordWrap w:val="0"/>
        <w:topLinePunct w:val="0"/>
        <w:autoSpaceDE/>
        <w:autoSpaceDN/>
        <w:bidi w:val="0"/>
        <w:adjustRightInd w:val="0"/>
        <w:snapToGrid w:val="0"/>
        <w:spacing w:line="560" w:lineRule="exact"/>
        <w:jc w:val="center"/>
        <w:rPr>
          <w:rFonts w:hint="default" w:ascii="Times New Roman" w:hAnsi="Times New Roman" w:eastAsia="方正小标宋简体" w:cs="Times New Roman"/>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w:t>
      </w:r>
      <w:r>
        <w:rPr>
          <w:rFonts w:hint="eastAsia" w:eastAsia="方正小标宋简体" w:cs="方正小标宋简体"/>
          <w:b w:val="0"/>
          <w:bCs/>
          <w:kern w:val="2"/>
          <w:sz w:val="44"/>
          <w:szCs w:val="32"/>
          <w:highlight w:val="none"/>
          <w:lang w:val="en-US" w:eastAsia="zh-CN"/>
        </w:rPr>
        <w:t>09</w:t>
      </w:r>
    </w:p>
    <w:p w14:paraId="3C3510B3">
      <w:pPr>
        <w:keepNext w:val="0"/>
        <w:keepLines w:val="0"/>
        <w:pageBreakBefore w:val="0"/>
        <w:widowControl w:val="0"/>
        <w:tabs>
          <w:tab w:val="left" w:pos="8640"/>
        </w:tabs>
        <w:kinsoku/>
        <w:wordWrap w:val="0"/>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b w:val="0"/>
          <w:bCs/>
          <w:kern w:val="2"/>
          <w:sz w:val="32"/>
          <w:szCs w:val="22"/>
          <w:highlight w:val="none"/>
          <w:lang w:val="en-US" w:eastAsia="zh-CN"/>
        </w:rPr>
      </w:pPr>
    </w:p>
    <w:p w14:paraId="1719EB5A">
      <w:pPr>
        <w:tabs>
          <w:tab w:val="left" w:pos="8640"/>
        </w:tabs>
        <w:adjustRightInd w:val="0"/>
        <w:snapToGrid w:val="0"/>
        <w:spacing w:line="440" w:lineRule="exact"/>
        <w:rPr>
          <w:rFonts w:hint="eastAsia" w:ascii="方正黑体简体" w:hAnsi="Times New Roman" w:eastAsia="方正黑体简体" w:cs="Times New Roman"/>
          <w:bCs/>
          <w:color w:val="auto"/>
          <w:spacing w:val="6"/>
          <w:sz w:val="32"/>
          <w:szCs w:val="32"/>
        </w:rPr>
      </w:pPr>
      <w:r>
        <w:rPr>
          <w:rFonts w:hint="eastAsia" w:ascii="方正黑体简体" w:hAnsi="Times New Roman" w:eastAsia="方正黑体简体" w:cs="Times New Roman"/>
          <w:bCs/>
          <w:color w:val="auto"/>
          <w:spacing w:val="6"/>
          <w:sz w:val="32"/>
          <w:szCs w:val="32"/>
        </w:rPr>
        <w:t>一、单位信息</w:t>
      </w:r>
    </w:p>
    <w:tbl>
      <w:tblPr>
        <w:tblStyle w:val="11"/>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31A19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2A5C6201">
            <w:pPr>
              <w:ind w:firstLine="0" w:firstLineChars="0"/>
              <w:jc w:val="center"/>
              <w:rPr>
                <w:rFonts w:eastAsia="楷体_GB2312"/>
                <w:sz w:val="28"/>
                <w:szCs w:val="28"/>
                <w:lang w:val="en-US"/>
              </w:rPr>
            </w:pPr>
            <w:r>
              <w:rPr>
                <w:rFonts w:hint="eastAsia" w:eastAsia="楷体_GB2312"/>
                <w:sz w:val="28"/>
                <w:szCs w:val="28"/>
                <w:lang w:val="en-US"/>
              </w:rPr>
              <w:t>单位名称</w:t>
            </w:r>
          </w:p>
        </w:tc>
        <w:tc>
          <w:tcPr>
            <w:tcW w:w="6932" w:type="dxa"/>
            <w:gridSpan w:val="3"/>
            <w:vAlign w:val="center"/>
          </w:tcPr>
          <w:p w14:paraId="668C7789">
            <w:pPr>
              <w:ind w:firstLine="0" w:firstLineChars="0"/>
              <w:jc w:val="center"/>
              <w:rPr>
                <w:rFonts w:eastAsia="仿宋_GB2312"/>
                <w:bCs/>
                <w:spacing w:val="6"/>
                <w:szCs w:val="28"/>
                <w:lang w:val="en-US"/>
              </w:rPr>
            </w:pPr>
            <w:bookmarkStart w:id="2" w:name="OLE_LINK3"/>
            <w:r>
              <w:rPr>
                <w:rFonts w:eastAsia="仿宋_GB2312"/>
                <w:bCs/>
                <w:spacing w:val="6"/>
                <w:szCs w:val="28"/>
                <w:lang w:val="en-US"/>
              </w:rPr>
              <w:t>中国电子科技集团公司信息科学研究院</w:t>
            </w:r>
            <w:bookmarkEnd w:id="2"/>
          </w:p>
        </w:tc>
      </w:tr>
      <w:tr w14:paraId="32C45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58812C2C">
            <w:pPr>
              <w:ind w:firstLine="0" w:firstLineChars="0"/>
              <w:jc w:val="center"/>
              <w:rPr>
                <w:rFonts w:eastAsia="楷体_GB2312"/>
                <w:sz w:val="28"/>
                <w:szCs w:val="28"/>
                <w:lang w:val="en-US"/>
              </w:rPr>
            </w:pPr>
            <w:r>
              <w:rPr>
                <w:rFonts w:hint="eastAsia" w:eastAsia="楷体_GB2312"/>
                <w:sz w:val="28"/>
                <w:szCs w:val="28"/>
                <w:lang w:val="en-US"/>
              </w:rPr>
              <w:t>单位类型</w:t>
            </w:r>
          </w:p>
        </w:tc>
        <w:tc>
          <w:tcPr>
            <w:tcW w:w="6932" w:type="dxa"/>
            <w:gridSpan w:val="3"/>
            <w:vAlign w:val="center"/>
          </w:tcPr>
          <w:p w14:paraId="5745673B">
            <w:pPr>
              <w:ind w:firstLine="0" w:firstLineChars="0"/>
              <w:jc w:val="center"/>
              <w:rPr>
                <w:rFonts w:hint="eastAsia" w:ascii="仿宋_GB2312" w:hAnsi="仿宋_GB2312" w:eastAsia="仿宋_GB2312" w:cs="仿宋_GB2312"/>
                <w:lang w:val="en-US"/>
              </w:rPr>
            </w:pPr>
            <w:r>
              <w:rPr>
                <w:rFonts w:eastAsia="仿宋_GB2312"/>
                <w:lang w:val="en-US"/>
              </w:rPr>
              <w:t>中央企业</w:t>
            </w:r>
          </w:p>
        </w:tc>
      </w:tr>
      <w:tr w14:paraId="49AE0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5994D827">
            <w:pPr>
              <w:ind w:firstLine="0" w:firstLineChars="0"/>
              <w:jc w:val="center"/>
              <w:rPr>
                <w:rFonts w:eastAsia="楷体_GB2312"/>
                <w:sz w:val="28"/>
                <w:szCs w:val="28"/>
                <w:lang w:val="en-US"/>
              </w:rPr>
            </w:pPr>
            <w:r>
              <w:rPr>
                <w:rFonts w:hint="eastAsia" w:eastAsia="楷体_GB2312"/>
                <w:sz w:val="28"/>
                <w:szCs w:val="28"/>
                <w:lang w:val="en-US"/>
              </w:rPr>
              <w:t>地址</w:t>
            </w:r>
          </w:p>
        </w:tc>
        <w:tc>
          <w:tcPr>
            <w:tcW w:w="6932" w:type="dxa"/>
            <w:gridSpan w:val="3"/>
            <w:vAlign w:val="center"/>
          </w:tcPr>
          <w:p w14:paraId="14493446">
            <w:pPr>
              <w:ind w:firstLine="0" w:firstLineChars="0"/>
              <w:jc w:val="center"/>
              <w:rPr>
                <w:rFonts w:hint="eastAsia" w:ascii="仿宋_GB2312" w:hAnsi="仿宋_GB2312" w:eastAsia="仿宋_GB2312" w:cs="仿宋_GB2312"/>
              </w:rPr>
            </w:pPr>
            <w:r>
              <w:rPr>
                <w:rFonts w:eastAsia="仿宋_GB2312"/>
              </w:rPr>
              <w:t>北京市</w:t>
            </w:r>
            <w:r>
              <w:rPr>
                <w:rFonts w:eastAsia="仿宋_GB2312"/>
                <w:bCs/>
                <w:spacing w:val="6"/>
                <w:szCs w:val="28"/>
                <w:lang w:val="en-US"/>
              </w:rPr>
              <w:t>石景山</w:t>
            </w:r>
            <w:r>
              <w:rPr>
                <w:rFonts w:eastAsia="仿宋_GB2312"/>
              </w:rPr>
              <w:t>区实兴大街金府路30号院4号楼</w:t>
            </w:r>
          </w:p>
        </w:tc>
      </w:tr>
      <w:tr w14:paraId="0DE91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2" w:hRule="atLeast"/>
          <w:jc w:val="center"/>
        </w:trPr>
        <w:tc>
          <w:tcPr>
            <w:tcW w:w="1668" w:type="dxa"/>
            <w:vAlign w:val="center"/>
          </w:tcPr>
          <w:p w14:paraId="30CD20FF">
            <w:pPr>
              <w:ind w:firstLine="0" w:firstLineChars="0"/>
              <w:jc w:val="center"/>
              <w:rPr>
                <w:rFonts w:eastAsia="楷体_GB2312"/>
                <w:sz w:val="28"/>
                <w:szCs w:val="28"/>
                <w:lang w:val="en-US"/>
              </w:rPr>
            </w:pPr>
            <w:r>
              <w:rPr>
                <w:rFonts w:hint="eastAsia" w:eastAsia="楷体_GB2312"/>
                <w:sz w:val="28"/>
                <w:szCs w:val="28"/>
                <w:lang w:val="en-US"/>
              </w:rPr>
              <w:t>单位简介</w:t>
            </w:r>
          </w:p>
        </w:tc>
        <w:tc>
          <w:tcPr>
            <w:tcW w:w="6932" w:type="dxa"/>
            <w:gridSpan w:val="3"/>
            <w:vAlign w:val="center"/>
          </w:tcPr>
          <w:p w14:paraId="6FF8D466">
            <w:pPr>
              <w:ind w:firstLine="0" w:firstLineChars="0"/>
              <w:rPr>
                <w:rFonts w:eastAsia="仿宋_GB2312"/>
                <w:bCs/>
                <w:spacing w:val="6"/>
                <w:szCs w:val="28"/>
                <w:lang w:val="en-US"/>
              </w:rPr>
            </w:pPr>
            <w:r>
              <w:rPr>
                <w:rFonts w:eastAsia="仿宋_GB2312"/>
                <w:bCs/>
                <w:spacing w:val="6"/>
                <w:szCs w:val="28"/>
                <w:lang w:val="en-US"/>
              </w:rPr>
              <w:t>中国电子科技集团公司信息科学研究院成立于2013年8月，是隶属于中国电子科技集团有限公司的二级成员单位，是中国电科集团实施科技体系重构，创新驱动发展的重要举措。中国电科信息科学研究院是A类装备承制资格单位，具备武器装备科研生产单位一级保密资格、涉密信息系统集成资质，通过国军标质量管理体系GJB9001C-2017认证、CMMI成熟度三级认证、高新技术企业认证。</w:t>
            </w:r>
          </w:p>
          <w:p w14:paraId="37F9531A">
            <w:pPr>
              <w:ind w:firstLine="0" w:firstLineChars="0"/>
              <w:rPr>
                <w:rFonts w:eastAsia="仿宋_GB2312"/>
                <w:bCs/>
                <w:spacing w:val="6"/>
                <w:szCs w:val="28"/>
                <w:lang w:val="en-US"/>
              </w:rPr>
            </w:pPr>
            <w:r>
              <w:rPr>
                <w:rFonts w:eastAsia="仿宋_GB2312"/>
                <w:bCs/>
                <w:spacing w:val="6"/>
                <w:szCs w:val="28"/>
                <w:lang w:val="en-US"/>
              </w:rPr>
              <w:t>中国电科信息科学研究院坚持以习近平新时代中国特色社会主义思想为指导，坚持以国防建设为己任，以提高装备技术水平，加强军民融合产业化转型升级为目标，在集团创新使命目标下，适应未来智能时代和智能化战争发展需求，围绕建设电子信息及人工智能领域世界一流研究机构目标。</w:t>
            </w:r>
          </w:p>
          <w:p w14:paraId="0C904DCD">
            <w:pPr>
              <w:ind w:firstLine="0" w:firstLineChars="0"/>
              <w:rPr>
                <w:rFonts w:hint="eastAsia" w:ascii="仿宋_GB2312" w:hAnsi="仿宋_GB2312" w:eastAsia="仿宋_GB2312" w:cs="仿宋_GB2312"/>
              </w:rPr>
            </w:pPr>
            <w:r>
              <w:rPr>
                <w:rFonts w:eastAsia="仿宋_GB2312"/>
                <w:bCs/>
                <w:spacing w:val="6"/>
                <w:szCs w:val="28"/>
                <w:lang w:val="en-US"/>
              </w:rPr>
              <w:t>中国电科信息科学研究院以技术创新、产品创新、概念创新、模式创新为核心，定位为：从事电子信息技术领域基础性、前沿性技术创新的开放式研究机构；对接国家、军队、社会技术创新需求的重要渠道；推进科技机制体制改革、创新管理模式的重要基地；科技新战略的重要载体；推动技术成果与知识产权转化交易的示范平台。</w:t>
            </w:r>
          </w:p>
        </w:tc>
      </w:tr>
      <w:tr w14:paraId="3FFFA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506C2CB7">
            <w:pPr>
              <w:ind w:firstLine="0" w:firstLineChars="0"/>
              <w:jc w:val="center"/>
              <w:rPr>
                <w:rFonts w:eastAsia="楷体_GB2312"/>
                <w:sz w:val="28"/>
                <w:szCs w:val="28"/>
                <w:lang w:val="en-US"/>
              </w:rPr>
            </w:pPr>
            <w:r>
              <w:rPr>
                <w:rFonts w:hint="eastAsia" w:eastAsia="楷体_GB2312"/>
                <w:sz w:val="28"/>
                <w:szCs w:val="28"/>
                <w:lang w:val="en-US"/>
              </w:rPr>
              <w:t>联系人</w:t>
            </w:r>
          </w:p>
        </w:tc>
        <w:tc>
          <w:tcPr>
            <w:tcW w:w="3076" w:type="dxa"/>
            <w:vAlign w:val="center"/>
          </w:tcPr>
          <w:p w14:paraId="48F5657B">
            <w:pPr>
              <w:ind w:firstLine="0" w:firstLineChars="0"/>
              <w:jc w:val="center"/>
              <w:rPr>
                <w:rFonts w:eastAsia="仿宋_GB2312"/>
                <w:bCs/>
                <w:spacing w:val="6"/>
                <w:szCs w:val="28"/>
                <w:lang w:val="en-US"/>
              </w:rPr>
            </w:pPr>
            <w:r>
              <w:rPr>
                <w:rFonts w:hint="eastAsia" w:eastAsia="仿宋_GB2312"/>
                <w:bCs/>
                <w:spacing w:val="6"/>
                <w:szCs w:val="28"/>
                <w:lang w:val="en-US"/>
              </w:rPr>
              <w:t>饶梦彬</w:t>
            </w:r>
          </w:p>
        </w:tc>
        <w:tc>
          <w:tcPr>
            <w:tcW w:w="1073" w:type="dxa"/>
            <w:vAlign w:val="center"/>
          </w:tcPr>
          <w:p w14:paraId="502AF801">
            <w:pPr>
              <w:ind w:firstLine="0" w:firstLineChars="0"/>
              <w:jc w:val="center"/>
              <w:rPr>
                <w:rFonts w:eastAsia="楷体_GB2312"/>
                <w:sz w:val="28"/>
                <w:szCs w:val="28"/>
                <w:lang w:val="en-US"/>
              </w:rPr>
            </w:pPr>
            <w:r>
              <w:rPr>
                <w:rFonts w:hint="eastAsia" w:eastAsia="楷体_GB2312"/>
                <w:sz w:val="28"/>
                <w:szCs w:val="28"/>
                <w:lang w:val="en-US"/>
              </w:rPr>
              <w:t>职务</w:t>
            </w:r>
          </w:p>
        </w:tc>
        <w:tc>
          <w:tcPr>
            <w:tcW w:w="2783" w:type="dxa"/>
            <w:vAlign w:val="center"/>
          </w:tcPr>
          <w:p w14:paraId="55BB1110">
            <w:pPr>
              <w:ind w:firstLine="0" w:firstLineChars="0"/>
              <w:jc w:val="center"/>
              <w:rPr>
                <w:rFonts w:eastAsia="仿宋_GB2312"/>
                <w:bCs/>
                <w:spacing w:val="6"/>
                <w:szCs w:val="28"/>
                <w:lang w:val="en-US"/>
              </w:rPr>
            </w:pPr>
            <w:r>
              <w:rPr>
                <w:rFonts w:hint="eastAsia" w:eastAsia="仿宋_GB2312"/>
                <w:bCs/>
                <w:spacing w:val="6"/>
                <w:szCs w:val="28"/>
                <w:lang w:val="en-US"/>
              </w:rPr>
              <w:t>无</w:t>
            </w:r>
          </w:p>
        </w:tc>
      </w:tr>
      <w:tr w14:paraId="4B758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6783613B">
            <w:pPr>
              <w:ind w:firstLine="0" w:firstLineChars="0"/>
              <w:jc w:val="center"/>
              <w:rPr>
                <w:rFonts w:eastAsia="楷体_GB2312"/>
                <w:bCs/>
                <w:spacing w:val="6"/>
                <w:sz w:val="28"/>
                <w:szCs w:val="28"/>
                <w:lang w:val="en-US"/>
              </w:rPr>
            </w:pPr>
            <w:r>
              <w:rPr>
                <w:rFonts w:hint="eastAsia" w:eastAsia="楷体_GB2312"/>
                <w:sz w:val="28"/>
                <w:szCs w:val="28"/>
                <w:lang w:val="en-US"/>
              </w:rPr>
              <w:t>联系方式</w:t>
            </w:r>
          </w:p>
        </w:tc>
        <w:tc>
          <w:tcPr>
            <w:tcW w:w="3076" w:type="dxa"/>
            <w:vAlign w:val="center"/>
          </w:tcPr>
          <w:p w14:paraId="1E27302A">
            <w:pPr>
              <w:ind w:firstLine="0" w:firstLineChars="0"/>
              <w:jc w:val="center"/>
              <w:rPr>
                <w:rFonts w:eastAsia="仿宋_GB2312"/>
                <w:bCs/>
                <w:spacing w:val="6"/>
                <w:szCs w:val="28"/>
                <w:lang w:val="en-US"/>
              </w:rPr>
            </w:pPr>
            <w:r>
              <w:rPr>
                <w:rFonts w:hint="eastAsia" w:eastAsia="仿宋_GB2312"/>
                <w:bCs/>
                <w:spacing w:val="6"/>
                <w:szCs w:val="28"/>
                <w:lang w:val="en-US"/>
              </w:rPr>
              <w:t>13161152123</w:t>
            </w:r>
          </w:p>
        </w:tc>
        <w:tc>
          <w:tcPr>
            <w:tcW w:w="1073" w:type="dxa"/>
            <w:vAlign w:val="center"/>
          </w:tcPr>
          <w:p w14:paraId="28A92C11">
            <w:pPr>
              <w:ind w:firstLine="0" w:firstLineChars="0"/>
              <w:jc w:val="center"/>
              <w:rPr>
                <w:rFonts w:eastAsia="楷体_GB2312"/>
                <w:sz w:val="28"/>
                <w:szCs w:val="28"/>
                <w:lang w:val="en-US"/>
              </w:rPr>
            </w:pPr>
            <w:r>
              <w:rPr>
                <w:rFonts w:hint="eastAsia" w:eastAsia="楷体_GB2312"/>
                <w:sz w:val="28"/>
                <w:szCs w:val="28"/>
                <w:lang w:val="en-US"/>
              </w:rPr>
              <w:t>微信</w:t>
            </w:r>
          </w:p>
        </w:tc>
        <w:tc>
          <w:tcPr>
            <w:tcW w:w="2783" w:type="dxa"/>
            <w:vAlign w:val="center"/>
          </w:tcPr>
          <w:p w14:paraId="0714F623">
            <w:pPr>
              <w:ind w:firstLine="0" w:firstLineChars="0"/>
              <w:jc w:val="center"/>
              <w:rPr>
                <w:rFonts w:eastAsia="仿宋_GB2312"/>
                <w:bCs/>
                <w:spacing w:val="6"/>
                <w:szCs w:val="28"/>
                <w:lang w:val="en-US"/>
              </w:rPr>
            </w:pPr>
            <w:r>
              <w:rPr>
                <w:rFonts w:eastAsia="仿宋_GB2312"/>
                <w:bCs/>
                <w:spacing w:val="6"/>
                <w:szCs w:val="28"/>
                <w:lang w:val="en-US"/>
              </w:rPr>
              <w:t>rmbin19920114</w:t>
            </w:r>
          </w:p>
        </w:tc>
      </w:tr>
    </w:tbl>
    <w:p w14:paraId="53566FBF">
      <w:pPr>
        <w:tabs>
          <w:tab w:val="left" w:pos="8640"/>
        </w:tabs>
        <w:spacing w:line="560" w:lineRule="exact"/>
        <w:rPr>
          <w:rFonts w:eastAsia="方正黑体简体"/>
          <w:bCs/>
          <w:spacing w:val="6"/>
          <w:sz w:val="32"/>
          <w:szCs w:val="32"/>
        </w:rPr>
      </w:pPr>
      <w:r>
        <w:rPr>
          <w:rFonts w:hint="eastAsia" w:eastAsia="方正黑体简体"/>
          <w:bCs/>
          <w:spacing w:val="6"/>
          <w:sz w:val="32"/>
          <w:szCs w:val="32"/>
        </w:rPr>
        <w:t>二、选题说明</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0FAEBB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98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8B45231">
            <w:pPr>
              <w:spacing w:line="560" w:lineRule="exact"/>
              <w:ind w:firstLine="0" w:firstLineChars="0"/>
              <w:jc w:val="center"/>
              <w:rPr>
                <w:rFonts w:eastAsia="楷体_GB2312"/>
                <w:color w:val="000000"/>
                <w:sz w:val="28"/>
                <w:szCs w:val="28"/>
                <w:lang w:val="en-US"/>
              </w:rPr>
            </w:pPr>
            <w:r>
              <w:rPr>
                <w:rFonts w:hint="eastAsia" w:eastAsia="楷体_GB2312"/>
                <w:color w:val="000000"/>
                <w:sz w:val="28"/>
                <w:szCs w:val="28"/>
                <w:lang w:val="en-US"/>
              </w:rPr>
              <w:t>选题题目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8AF058E">
            <w:pPr>
              <w:ind w:firstLine="0" w:firstLineChars="0"/>
              <w:jc w:val="center"/>
              <w:rPr>
                <w:rFonts w:eastAsia="仿宋_GB2312"/>
                <w:bCs/>
                <w:spacing w:val="6"/>
                <w:szCs w:val="28"/>
                <w:lang w:val="en-US"/>
              </w:rPr>
            </w:pPr>
            <w:bookmarkStart w:id="3" w:name="OLE_LINK1"/>
            <w:r>
              <w:rPr>
                <w:rFonts w:hint="eastAsia" w:eastAsia="仿宋_GB2312"/>
                <w:bCs/>
                <w:spacing w:val="6"/>
                <w:szCs w:val="28"/>
                <w:lang w:val="en-US"/>
              </w:rPr>
              <w:t>基于天基图像与众源数据的细粒度目标认知增强技术</w:t>
            </w:r>
            <w:bookmarkEnd w:id="3"/>
          </w:p>
        </w:tc>
      </w:tr>
      <w:tr w14:paraId="7A2B2E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95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D5B67E9">
            <w:pPr>
              <w:spacing w:line="560" w:lineRule="exact"/>
              <w:ind w:firstLine="0" w:firstLineChars="0"/>
              <w:jc w:val="center"/>
              <w:rPr>
                <w:rFonts w:eastAsia="楷体_GB2312"/>
                <w:color w:val="000000"/>
                <w:sz w:val="28"/>
                <w:szCs w:val="28"/>
                <w:lang w:val="en-US"/>
              </w:rPr>
            </w:pPr>
            <w:r>
              <w:rPr>
                <w:rFonts w:hint="eastAsia" w:eastAsia="楷体_GB2312"/>
                <w:color w:val="000000"/>
                <w:sz w:val="28"/>
                <w:szCs w:val="28"/>
                <w:lang w:val="en-US"/>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3408F8C">
            <w:pPr>
              <w:ind w:firstLine="0" w:firstLineChars="0"/>
              <w:jc w:val="center"/>
              <w:rPr>
                <w:rFonts w:eastAsia="仿宋_GB2312"/>
                <w:bCs/>
                <w:spacing w:val="6"/>
                <w:szCs w:val="28"/>
                <w:lang w:val="en-US"/>
              </w:rPr>
            </w:pPr>
            <w:r>
              <w:rPr>
                <w:rFonts w:hint="eastAsia" w:eastAsia="仿宋_GB2312"/>
                <w:bCs/>
                <w:spacing w:val="6"/>
                <w:szCs w:val="28"/>
                <w:lang w:val="en-US"/>
              </w:rPr>
              <w:t>人工智能、数据分析领域</w:t>
            </w:r>
          </w:p>
        </w:tc>
      </w:tr>
      <w:tr w14:paraId="60CF4D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3849"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241FB31">
            <w:pPr>
              <w:spacing w:line="560" w:lineRule="exact"/>
              <w:ind w:firstLine="0" w:firstLineChars="0"/>
              <w:jc w:val="center"/>
              <w:rPr>
                <w:rFonts w:eastAsia="楷体_GB2312"/>
                <w:color w:val="000000"/>
                <w:sz w:val="28"/>
                <w:szCs w:val="28"/>
                <w:lang w:val="en-US"/>
              </w:rPr>
            </w:pPr>
            <w:r>
              <w:rPr>
                <w:rFonts w:hint="eastAsia" w:eastAsia="楷体_GB2312"/>
                <w:color w:val="000000"/>
                <w:sz w:val="28"/>
                <w:szCs w:val="28"/>
                <w:lang w:val="en-US"/>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372E3F3">
            <w:pPr>
              <w:ind w:firstLine="504"/>
              <w:jc w:val="both"/>
              <w:rPr>
                <w:rFonts w:eastAsia="仿宋_GB2312"/>
                <w:lang w:val="en-US"/>
              </w:rPr>
            </w:pPr>
            <w:r>
              <w:rPr>
                <w:rFonts w:hint="eastAsia" w:eastAsia="仿宋_GB2312"/>
                <w:bCs/>
                <w:color w:val="000000"/>
                <w:spacing w:val="6"/>
                <w:szCs w:val="28"/>
                <w:lang w:val="en-US"/>
              </w:rPr>
              <w:t>城市紧急救援具有</w:t>
            </w:r>
            <w:r>
              <w:rPr>
                <w:rFonts w:hint="eastAsia" w:eastAsia="仿宋_GB2312"/>
                <w:b/>
                <w:color w:val="000000"/>
                <w:spacing w:val="6"/>
                <w:szCs w:val="28"/>
                <w:lang w:val="en-US"/>
              </w:rPr>
              <w:t>时间紧迫、任务繁重</w:t>
            </w:r>
            <w:r>
              <w:rPr>
                <w:rFonts w:hint="eastAsia" w:eastAsia="仿宋_GB2312"/>
                <w:bCs/>
                <w:color w:val="000000"/>
                <w:spacing w:val="6"/>
                <w:szCs w:val="28"/>
                <w:lang w:val="en-US"/>
              </w:rPr>
              <w:t>的显著特征，黄金救援窗口往往以分钟甚至秒计算，任何决策延迟都可能导致生命财产损失扩大。这种高压环境下，救援部门迫切需要整合多源异构数据进行快速融合分析，通过整合多元化地理信息和数据资源，建立</w:t>
            </w:r>
            <w:r>
              <w:rPr>
                <w:rFonts w:hint="eastAsia" w:eastAsia="仿宋_GB2312"/>
                <w:b/>
                <w:color w:val="000000"/>
                <w:spacing w:val="6"/>
                <w:szCs w:val="28"/>
                <w:lang w:val="en-US"/>
              </w:rPr>
              <w:t>应急处置“一张图”</w:t>
            </w:r>
            <w:r>
              <w:rPr>
                <w:rFonts w:hint="eastAsia" w:eastAsia="仿宋_GB2312"/>
                <w:bCs/>
                <w:color w:val="000000"/>
                <w:spacing w:val="6"/>
                <w:szCs w:val="28"/>
                <w:lang w:val="en-US"/>
              </w:rPr>
              <w:t>。此外，当前我国天基数据的更新速度快至2小时，卫星平均重访周期大约在4个小时左右，这与城市紧急救援任务的紧急需求存在矛盾，亟需新的技术手段进一步缩短应急态势图的更新时间。因此，本项研究旨在解决天基图像与众源数据目标认知结果融合的瓶颈问题，通过多源数据信息融合补足当前天基图像信息对细粒度目标认知的短板，缩短应急态势图的更新时间，为现代城市应急救援提供技术支撑。</w:t>
            </w:r>
          </w:p>
        </w:tc>
      </w:tr>
      <w:tr w14:paraId="10F766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9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8C55B33">
            <w:pPr>
              <w:spacing w:line="560" w:lineRule="exact"/>
              <w:ind w:firstLine="0" w:firstLineChars="0"/>
              <w:jc w:val="center"/>
              <w:rPr>
                <w:rFonts w:eastAsia="楷体_GB2312"/>
                <w:color w:val="000000"/>
                <w:sz w:val="28"/>
                <w:szCs w:val="28"/>
                <w:lang w:val="en-US"/>
              </w:rPr>
            </w:pPr>
            <w:r>
              <w:rPr>
                <w:rFonts w:hint="eastAsia" w:eastAsia="楷体_GB2312"/>
                <w:color w:val="000000"/>
                <w:sz w:val="28"/>
                <w:szCs w:val="28"/>
                <w:lang w:val="en-US"/>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BFEE552">
            <w:pPr>
              <w:ind w:firstLine="504"/>
              <w:jc w:val="both"/>
              <w:rPr>
                <w:rFonts w:eastAsia="仿宋_GB2312"/>
                <w:bCs/>
                <w:color w:val="000000"/>
                <w:spacing w:val="6"/>
                <w:szCs w:val="28"/>
                <w:lang w:val="en-US"/>
              </w:rPr>
            </w:pPr>
            <w:r>
              <w:rPr>
                <w:rFonts w:hint="eastAsia" w:eastAsia="仿宋_GB2312"/>
                <w:bCs/>
                <w:color w:val="000000"/>
                <w:spacing w:val="6"/>
                <w:szCs w:val="28"/>
                <w:lang w:val="en-US"/>
              </w:rPr>
              <w:t>作品形式：1）多源数据目标认知增强模型；2）技术研究报告。</w:t>
            </w:r>
          </w:p>
          <w:p w14:paraId="4CB02A5E">
            <w:pPr>
              <w:ind w:firstLine="504"/>
              <w:jc w:val="both"/>
              <w:rPr>
                <w:rFonts w:eastAsia="仿宋_GB2312"/>
                <w:bCs/>
                <w:color w:val="000000"/>
                <w:spacing w:val="6"/>
                <w:szCs w:val="28"/>
                <w:lang w:val="en-US"/>
              </w:rPr>
            </w:pPr>
            <w:r>
              <w:rPr>
                <w:rFonts w:hint="eastAsia" w:eastAsia="仿宋_GB2312"/>
                <w:bCs/>
                <w:color w:val="000000"/>
                <w:spacing w:val="6"/>
                <w:szCs w:val="28"/>
                <w:lang w:val="en-US"/>
              </w:rPr>
              <w:t>提交时间：2026年5月30日前。</w:t>
            </w:r>
          </w:p>
          <w:p w14:paraId="1D563F1A">
            <w:pPr>
              <w:ind w:firstLine="504"/>
              <w:jc w:val="both"/>
              <w:rPr>
                <w:rFonts w:eastAsia="仿宋_GB2312"/>
                <w:bCs/>
                <w:color w:val="000000"/>
                <w:spacing w:val="6"/>
                <w:szCs w:val="28"/>
                <w:lang w:val="en-US"/>
              </w:rPr>
            </w:pPr>
            <w:r>
              <w:rPr>
                <w:rFonts w:hint="eastAsia" w:eastAsia="仿宋_GB2312"/>
                <w:bCs/>
                <w:color w:val="000000"/>
                <w:spacing w:val="6"/>
                <w:szCs w:val="28"/>
                <w:lang w:val="en-US"/>
              </w:rPr>
              <w:t>作品要求：这是个开放性课题，出题单位不发布数据集。参赛团队自行调研当前的前沿技术，通过自建数据集或公开数据完成模型开发，并形成技术研究报告（涵盖摘要、国内外现状、创新点、详细的技术途径、实验结果）。</w:t>
            </w:r>
          </w:p>
          <w:p w14:paraId="5BCBCF52">
            <w:pPr>
              <w:ind w:firstLine="504"/>
              <w:jc w:val="both"/>
              <w:rPr>
                <w:rFonts w:hint="eastAsia" w:ascii="仿宋_GB2312" w:hAnsi="仿宋_GB2312" w:eastAsia="仿宋_GB2312" w:cs="仿宋_GB2312"/>
              </w:rPr>
            </w:pPr>
            <w:r>
              <w:rPr>
                <w:rFonts w:hint="eastAsia" w:eastAsia="仿宋_GB2312"/>
                <w:bCs/>
                <w:color w:val="000000"/>
                <w:spacing w:val="6"/>
                <w:szCs w:val="28"/>
                <w:lang w:val="en-US"/>
              </w:rPr>
              <w:t>评选标准：以技术研究报告的质量作为标准，由出题单位专家进行打分，按照得分高低进行排序。</w:t>
            </w:r>
          </w:p>
        </w:tc>
      </w:tr>
      <w:tr w14:paraId="688AE2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05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293467">
            <w:pPr>
              <w:spacing w:line="560" w:lineRule="exact"/>
              <w:ind w:firstLine="0" w:firstLineChars="0"/>
              <w:jc w:val="center"/>
              <w:rPr>
                <w:rFonts w:eastAsia="楷体_GB2312"/>
                <w:color w:val="000000"/>
                <w:sz w:val="28"/>
                <w:szCs w:val="28"/>
                <w:lang w:val="en-US"/>
              </w:rPr>
            </w:pPr>
            <w:r>
              <w:rPr>
                <w:rFonts w:hint="eastAsia" w:eastAsia="楷体_GB2312"/>
                <w:color w:val="000000"/>
                <w:sz w:val="28"/>
                <w:szCs w:val="28"/>
                <w:lang w:val="en-US"/>
              </w:rPr>
              <w:t>作品评审</w:t>
            </w:r>
          </w:p>
          <w:p w14:paraId="25AFB9C7">
            <w:pPr>
              <w:spacing w:line="560" w:lineRule="exact"/>
              <w:ind w:firstLine="0" w:firstLineChars="0"/>
              <w:jc w:val="center"/>
              <w:rPr>
                <w:rFonts w:eastAsia="楷体_GB2312"/>
                <w:color w:val="000000"/>
                <w:sz w:val="28"/>
                <w:szCs w:val="28"/>
                <w:lang w:val="en-US"/>
              </w:rPr>
            </w:pPr>
            <w:r>
              <w:rPr>
                <w:rFonts w:hint="eastAsia" w:eastAsia="楷体_GB2312"/>
                <w:color w:val="000000"/>
                <w:sz w:val="28"/>
                <w:szCs w:val="28"/>
                <w:lang w:val="en-US"/>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EF610F">
            <w:pPr>
              <w:ind w:firstLine="504"/>
              <w:jc w:val="both"/>
              <w:rPr>
                <w:rFonts w:eastAsia="仿宋_GB2312"/>
              </w:rPr>
            </w:pPr>
            <w:r>
              <w:rPr>
                <w:rFonts w:hint="eastAsia" w:eastAsia="仿宋_GB2312"/>
                <w:bCs/>
                <w:color w:val="000000"/>
                <w:spacing w:val="6"/>
                <w:szCs w:val="28"/>
                <w:lang w:val="en-US"/>
              </w:rPr>
              <w:t>以技术研究报告的质量作为标准，从需求契合程度（20分）、研究现状综述完整性（20分）、数据分析与论证（30分）、技术前沿创新性（20分）和规范表达（10分），五个维度由专家进行打分。此外，提交的模型算法能够复现技术研究报告中的实验结果。</w:t>
            </w:r>
          </w:p>
        </w:tc>
      </w:tr>
      <w:tr w14:paraId="0CB6F8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157"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9335A26">
            <w:pPr>
              <w:spacing w:line="560" w:lineRule="exact"/>
              <w:ind w:firstLine="0" w:firstLineChars="0"/>
              <w:jc w:val="center"/>
              <w:rPr>
                <w:rFonts w:eastAsia="楷体_GB2312"/>
                <w:color w:val="000000"/>
                <w:sz w:val="28"/>
                <w:szCs w:val="28"/>
                <w:lang w:val="en-US"/>
              </w:rPr>
            </w:pPr>
            <w:r>
              <w:rPr>
                <w:rFonts w:hint="eastAsia" w:eastAsia="楷体_GB2312"/>
                <w:color w:val="000000"/>
                <w:sz w:val="28"/>
                <w:szCs w:val="28"/>
                <w:lang w:val="en-US"/>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608CB85">
            <w:pPr>
              <w:tabs>
                <w:tab w:val="left" w:pos="3432"/>
              </w:tabs>
              <w:rPr>
                <w:rFonts w:eastAsia="仿宋_GB2312"/>
                <w:bCs/>
                <w:spacing w:val="6"/>
                <w:szCs w:val="28"/>
              </w:rPr>
            </w:pPr>
            <w:r>
              <w:rPr>
                <w:rFonts w:hint="eastAsia" w:eastAsia="仿宋_GB2312"/>
              </w:rPr>
              <w:t>无。</w:t>
            </w:r>
          </w:p>
        </w:tc>
      </w:tr>
    </w:tbl>
    <w:p w14:paraId="56B64F07">
      <w:pPr>
        <w:tabs>
          <w:tab w:val="left" w:pos="3432"/>
        </w:tabs>
        <w:rPr>
          <w:rFonts w:eastAsia="方正黑体简体"/>
        </w:rPr>
      </w:pPr>
      <w:r>
        <w:rPr>
          <w:rFonts w:hint="eastAsia" w:eastAsia="方正黑体简体"/>
        </w:rPr>
        <w:br w:type="page"/>
      </w:r>
    </w:p>
    <w:p w14:paraId="0B793E09">
      <w:pPr>
        <w:tabs>
          <w:tab w:val="left" w:pos="8640"/>
        </w:tabs>
        <w:spacing w:line="560" w:lineRule="exact"/>
        <w:rPr>
          <w:rFonts w:eastAsia="方正黑体简体"/>
          <w:bCs/>
          <w:spacing w:val="6"/>
          <w:sz w:val="32"/>
          <w:szCs w:val="32"/>
        </w:rPr>
      </w:pPr>
      <w:r>
        <w:rPr>
          <w:rFonts w:hint="eastAsia" w:eastAsia="方正黑体简体"/>
          <w:bCs/>
          <w:spacing w:val="6"/>
          <w:sz w:val="32"/>
          <w:szCs w:val="32"/>
        </w:rPr>
        <w:t>三、激励保障</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3BA077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65"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FB45B7F">
            <w:pPr>
              <w:spacing w:line="560" w:lineRule="exact"/>
              <w:ind w:firstLine="0" w:firstLineChars="0"/>
              <w:jc w:val="center"/>
              <w:rPr>
                <w:rFonts w:eastAsia="楷体_GB2312"/>
                <w:color w:val="000000"/>
                <w:sz w:val="28"/>
                <w:szCs w:val="28"/>
                <w:lang w:val="en-US"/>
              </w:rPr>
            </w:pPr>
            <w:r>
              <w:rPr>
                <w:rFonts w:hint="eastAsia" w:eastAsia="楷体_GB2312"/>
                <w:color w:val="000000"/>
                <w:sz w:val="28"/>
                <w:szCs w:val="28"/>
                <w:lang w:val="en-US"/>
              </w:rPr>
              <w:t>保障措施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46FA218">
            <w:pPr>
              <w:ind w:firstLine="504"/>
              <w:jc w:val="both"/>
              <w:rPr>
                <w:rFonts w:eastAsia="仿宋_GB2312"/>
              </w:rPr>
            </w:pPr>
            <w:r>
              <w:rPr>
                <w:rFonts w:hint="eastAsia" w:eastAsia="仿宋_GB2312"/>
                <w:bCs/>
                <w:color w:val="000000"/>
                <w:spacing w:val="6"/>
                <w:szCs w:val="28"/>
                <w:lang w:val="en-US"/>
              </w:rPr>
              <w:t>出题单位可在2026年3月底前通过线上或线下途径为参赛团队提供需求对接与答疑环节，同时出题单位配备专员在比赛过程中提供必要的说明与答疑。</w:t>
            </w:r>
          </w:p>
        </w:tc>
      </w:tr>
      <w:tr w14:paraId="189B00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2854"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5474D5A">
            <w:pPr>
              <w:spacing w:line="560" w:lineRule="exact"/>
              <w:ind w:firstLine="0" w:firstLineChars="0"/>
              <w:jc w:val="center"/>
              <w:rPr>
                <w:rFonts w:eastAsia="楷体_GB2312"/>
                <w:color w:val="000000"/>
                <w:sz w:val="28"/>
                <w:szCs w:val="28"/>
                <w:lang w:val="en-US"/>
              </w:rPr>
            </w:pPr>
            <w:r>
              <w:rPr>
                <w:rFonts w:hint="eastAsia" w:eastAsia="楷体_GB2312"/>
                <w:color w:val="000000"/>
                <w:sz w:val="28"/>
                <w:szCs w:val="28"/>
                <w:lang w:val="en-US"/>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CB3C349">
            <w:pPr>
              <w:ind w:firstLine="504"/>
              <w:jc w:val="both"/>
              <w:rPr>
                <w:rFonts w:hint="eastAsia" w:eastAsia="仿宋_GB2312"/>
                <w:bCs/>
                <w:color w:val="000000"/>
                <w:spacing w:val="6"/>
                <w:szCs w:val="28"/>
                <w:lang w:val="en-US"/>
              </w:rPr>
            </w:pPr>
            <w:r>
              <w:rPr>
                <w:rFonts w:hint="eastAsia" w:eastAsia="仿宋_GB2312"/>
                <w:bCs/>
                <w:color w:val="000000"/>
                <w:spacing w:val="6"/>
                <w:szCs w:val="28"/>
                <w:lang w:val="en-US"/>
              </w:rPr>
              <w:t>一、奖项设置</w:t>
            </w:r>
          </w:p>
          <w:p w14:paraId="30F301CE">
            <w:pPr>
              <w:ind w:firstLine="504"/>
              <w:jc w:val="both"/>
              <w:rPr>
                <w:rFonts w:hint="eastAsia" w:eastAsia="仿宋_GB2312"/>
                <w:bCs/>
                <w:color w:val="000000"/>
                <w:spacing w:val="6"/>
                <w:szCs w:val="28"/>
                <w:lang w:val="en-US"/>
              </w:rPr>
            </w:pPr>
            <w:r>
              <w:rPr>
                <w:rFonts w:hint="eastAsia" w:eastAsia="仿宋_GB2312"/>
                <w:bCs/>
                <w:color w:val="000000"/>
                <w:spacing w:val="6"/>
                <w:szCs w:val="28"/>
                <w:lang w:val="en-US" w:eastAsia="zh-CN"/>
              </w:rPr>
              <w:t>原则上设“擂主”团队1个，</w:t>
            </w:r>
            <w:r>
              <w:rPr>
                <w:rFonts w:hint="eastAsia" w:eastAsia="仿宋_GB2312"/>
                <w:bCs/>
                <w:color w:val="000000"/>
                <w:spacing w:val="6"/>
                <w:szCs w:val="28"/>
                <w:lang w:val="en-US"/>
              </w:rPr>
              <w:t>根据实际情况评出相应的特等奖、一等奖、二等奖、三等奖项目若干。</w:t>
            </w:r>
          </w:p>
          <w:p w14:paraId="26B8CD05">
            <w:pPr>
              <w:ind w:firstLine="504"/>
              <w:jc w:val="both"/>
              <w:rPr>
                <w:rFonts w:hint="eastAsia" w:eastAsia="仿宋_GB2312"/>
                <w:bCs/>
                <w:color w:val="000000"/>
                <w:spacing w:val="6"/>
                <w:szCs w:val="28"/>
                <w:lang w:val="en-US"/>
              </w:rPr>
            </w:pPr>
            <w:r>
              <w:rPr>
                <w:rFonts w:hint="eastAsia" w:eastAsia="仿宋_GB2312"/>
                <w:bCs/>
                <w:color w:val="000000"/>
                <w:spacing w:val="6"/>
                <w:szCs w:val="28"/>
                <w:lang w:val="en-US"/>
              </w:rPr>
              <w:t>二、激励措施</w:t>
            </w:r>
          </w:p>
          <w:p w14:paraId="118C0C58">
            <w:pPr>
              <w:ind w:firstLine="504"/>
              <w:jc w:val="both"/>
              <w:rPr>
                <w:rFonts w:eastAsia="仿宋_GB2312"/>
                <w:lang w:val="en-US"/>
              </w:rPr>
            </w:pPr>
            <w:r>
              <w:rPr>
                <w:rFonts w:hint="eastAsia" w:eastAsia="仿宋_GB2312"/>
                <w:bCs/>
                <w:color w:val="000000"/>
                <w:spacing w:val="6"/>
                <w:szCs w:val="28"/>
                <w:lang w:val="en-US"/>
              </w:rPr>
              <w:t>本榜题将结合实际获奖情况给予适度奖金奖励。出题单位可为获奖者提供就业内推机会，可为“擂主”团队提供岗位实习机会，并视具体情况提供项目合作机会。</w:t>
            </w:r>
          </w:p>
        </w:tc>
      </w:tr>
    </w:tbl>
    <w:p w14:paraId="6031D4E4">
      <w:pPr>
        <w:tabs>
          <w:tab w:val="left" w:pos="8640"/>
        </w:tabs>
        <w:spacing w:line="560" w:lineRule="exact"/>
        <w:rPr>
          <w:rFonts w:eastAsia="方正黑体简体"/>
          <w:bCs/>
          <w:spacing w:val="6"/>
          <w:sz w:val="32"/>
          <w:szCs w:val="32"/>
        </w:rPr>
      </w:pPr>
      <w:r>
        <w:rPr>
          <w:rFonts w:hint="eastAsia" w:eastAsia="方正黑体简体"/>
          <w:bCs/>
          <w:spacing w:val="6"/>
          <w:sz w:val="32"/>
          <w:szCs w:val="32"/>
        </w:rPr>
        <w:t>四、选题意义</w:t>
      </w:r>
    </w:p>
    <w:tbl>
      <w:tblPr>
        <w:tblStyle w:val="1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458BB4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6C79E81E">
            <w:pPr>
              <w:spacing w:line="560" w:lineRule="exact"/>
              <w:ind w:firstLine="0" w:firstLineChars="0"/>
              <w:jc w:val="center"/>
              <w:rPr>
                <w:rFonts w:eastAsia="楷体_GB2312"/>
                <w:color w:val="000000"/>
                <w:sz w:val="28"/>
                <w:szCs w:val="28"/>
                <w:lang w:val="en-US"/>
              </w:rPr>
            </w:pPr>
            <w:r>
              <w:rPr>
                <w:rFonts w:hint="eastAsia" w:eastAsia="楷体_GB2312"/>
                <w:color w:val="000000"/>
                <w:sz w:val="28"/>
                <w:szCs w:val="28"/>
                <w:lang w:val="en-US"/>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25E9B6">
            <w:pPr>
              <w:ind w:firstLine="504"/>
              <w:jc w:val="both"/>
              <w:rPr>
                <w:rFonts w:eastAsia="仿宋_GB2312"/>
                <w:bCs/>
                <w:color w:val="000000"/>
                <w:spacing w:val="6"/>
                <w:szCs w:val="28"/>
                <w:lang w:val="en-US"/>
              </w:rPr>
            </w:pPr>
            <w:r>
              <w:rPr>
                <w:rFonts w:hint="eastAsia" w:eastAsia="仿宋_GB2312"/>
                <w:bCs/>
                <w:color w:val="000000"/>
                <w:spacing w:val="6"/>
                <w:szCs w:val="28"/>
                <w:lang w:val="en-US"/>
              </w:rPr>
              <w:t>众源手段获取的平视视角图像，其成像时间、周期没有严格的限制，但这类数据成像视角窄、地理位置不明确，与天基底图融合难，导致平视数据未被广泛用于城市应急救援“一张图”。当前</w:t>
            </w:r>
            <w:r>
              <w:rPr>
                <w:rFonts w:hint="eastAsia" w:eastAsia="仿宋_GB2312"/>
                <w:bCs/>
                <w:spacing w:val="6"/>
                <w:szCs w:val="28"/>
                <w:lang w:val="en-US"/>
              </w:rPr>
              <w:t>基于天基图像与众源数据的细粒度目标认知增强技术的难点在于：攻克平视视图与天基底图信息地理位置、目标信息对齐问题，一定程度上可以缩短城市态势图的更新时间，提升现代城市应急救援的效率。</w:t>
            </w:r>
          </w:p>
          <w:p w14:paraId="2F83A1E4">
            <w:pPr>
              <w:ind w:firstLine="504"/>
              <w:jc w:val="both"/>
              <w:rPr>
                <w:rFonts w:eastAsia="仿宋_GB2312"/>
                <w:bCs/>
                <w:color w:val="000000"/>
                <w:spacing w:val="6"/>
                <w:szCs w:val="28"/>
                <w:lang w:val="en-US"/>
              </w:rPr>
            </w:pPr>
          </w:p>
        </w:tc>
      </w:tr>
      <w:tr w14:paraId="2BD99E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4B573D">
            <w:pPr>
              <w:spacing w:line="560" w:lineRule="exact"/>
              <w:ind w:firstLine="0" w:firstLineChars="0"/>
              <w:jc w:val="center"/>
              <w:rPr>
                <w:rFonts w:eastAsia="楷体_GB2312"/>
                <w:color w:val="000000"/>
                <w:sz w:val="28"/>
                <w:szCs w:val="28"/>
                <w:lang w:val="en-US"/>
              </w:rPr>
            </w:pPr>
            <w:r>
              <w:rPr>
                <w:rFonts w:hint="eastAsia" w:eastAsia="楷体_GB2312"/>
                <w:color w:val="000000"/>
                <w:sz w:val="28"/>
                <w:szCs w:val="28"/>
                <w:lang w:val="en-US"/>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F58805">
            <w:pPr>
              <w:ind w:firstLine="504"/>
              <w:jc w:val="both"/>
              <w:rPr>
                <w:rFonts w:eastAsia="仿宋_GB2312"/>
                <w:bCs/>
                <w:color w:val="000000"/>
                <w:spacing w:val="6"/>
                <w:szCs w:val="28"/>
                <w:lang w:val="en-US"/>
              </w:rPr>
            </w:pPr>
            <w:r>
              <w:rPr>
                <w:rFonts w:hint="eastAsia" w:eastAsia="仿宋_GB2312"/>
                <w:bCs/>
                <w:color w:val="000000"/>
                <w:spacing w:val="6"/>
                <w:szCs w:val="28"/>
                <w:lang w:val="en-US"/>
              </w:rPr>
              <w:t>该技术可应用于城市应急救援任务，通过整合众源目标信息，快速更新大区域范围的应急处置“一张图”，以在短时间内精准判断灾情态势、优化救援路径，科学调配力量，直接关系到救援任务的成败与效率。</w:t>
            </w:r>
          </w:p>
        </w:tc>
      </w:tr>
    </w:tbl>
    <w:p w14:paraId="3BF77ABB">
      <w:pPr>
        <w:rPr>
          <w:rFonts w:hint="eastAsia" w:eastAsia="楷体_GB2312"/>
        </w:rPr>
      </w:pPr>
      <w:r>
        <w:rPr>
          <w:rFonts w:hint="eastAsia" w:eastAsia="楷体_GB2312"/>
        </w:rPr>
        <w:br w:type="page"/>
      </w:r>
    </w:p>
    <w:p w14:paraId="6788A1C8">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“青智未来”新质生产力</w:t>
      </w:r>
      <w:r>
        <w:rPr>
          <w:rFonts w:hint="default" w:ascii="Times New Roman" w:hAnsi="Times New Roman" w:eastAsia="方正小标宋简体" w:cs="Times New Roman"/>
          <w:b w:val="0"/>
          <w:bCs/>
          <w:kern w:val="2"/>
          <w:sz w:val="44"/>
          <w:szCs w:val="32"/>
          <w:highlight w:val="none"/>
          <w:lang w:val="en-US" w:eastAsia="zh-CN"/>
        </w:rPr>
        <w:t>专项赛</w:t>
      </w:r>
    </w:p>
    <w:p w14:paraId="4EA06722">
      <w:pPr>
        <w:keepNext w:val="0"/>
        <w:keepLines w:val="0"/>
        <w:pageBreakBefore w:val="0"/>
        <w:widowControl w:val="0"/>
        <w:tabs>
          <w:tab w:val="left" w:pos="8640"/>
        </w:tabs>
        <w:kinsoku/>
        <w:wordWrap w:val="0"/>
        <w:topLinePunct w:val="0"/>
        <w:autoSpaceDE/>
        <w:autoSpaceDN/>
        <w:bidi w:val="0"/>
        <w:adjustRightInd w:val="0"/>
        <w:snapToGrid w:val="0"/>
        <w:spacing w:line="560" w:lineRule="exact"/>
        <w:jc w:val="center"/>
        <w:rPr>
          <w:rFonts w:hint="default" w:ascii="Times New Roman" w:hAnsi="Times New Roman" w:eastAsia="方正小标宋简体" w:cs="Times New Roman"/>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—1</w:t>
      </w:r>
      <w:r>
        <w:rPr>
          <w:rFonts w:hint="eastAsia" w:eastAsia="方正小标宋简体" w:cs="方正小标宋简体"/>
          <w:b w:val="0"/>
          <w:bCs/>
          <w:kern w:val="2"/>
          <w:sz w:val="44"/>
          <w:szCs w:val="32"/>
          <w:highlight w:val="none"/>
          <w:lang w:val="en-US" w:eastAsia="zh-CN"/>
        </w:rPr>
        <w:t>0</w:t>
      </w:r>
    </w:p>
    <w:p w14:paraId="081E5960">
      <w:pPr>
        <w:keepNext w:val="0"/>
        <w:keepLines w:val="0"/>
        <w:pageBreakBefore w:val="0"/>
        <w:widowControl w:val="0"/>
        <w:tabs>
          <w:tab w:val="left" w:pos="8640"/>
        </w:tabs>
        <w:kinsoku/>
        <w:wordWrap w:val="0"/>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b w:val="0"/>
          <w:bCs/>
          <w:kern w:val="2"/>
          <w:sz w:val="32"/>
          <w:szCs w:val="22"/>
          <w:highlight w:val="none"/>
          <w:lang w:val="en-US" w:eastAsia="zh-CN"/>
        </w:rPr>
      </w:pPr>
    </w:p>
    <w:p w14:paraId="1DE78E30">
      <w:pPr>
        <w:tabs>
          <w:tab w:val="left" w:pos="8640"/>
        </w:tabs>
        <w:adjustRightInd w:val="0"/>
        <w:snapToGrid w:val="0"/>
        <w:spacing w:line="560" w:lineRule="exact"/>
        <w:rPr>
          <w:rFonts w:ascii="方正楷体简体" w:hAnsi="方正楷体简体" w:eastAsia="方正楷体简体" w:cs="方正楷体简体"/>
          <w:bCs/>
          <w:spacing w:val="6"/>
        </w:rPr>
      </w:pPr>
      <w:r>
        <w:rPr>
          <w:rFonts w:hint="eastAsia" w:ascii="方正黑体简体" w:eastAsia="方正黑体简体"/>
          <w:bCs/>
          <w:spacing w:val="6"/>
          <w:sz w:val="32"/>
          <w:szCs w:val="32"/>
        </w:rPr>
        <w:t>一、单位信息</w:t>
      </w:r>
    </w:p>
    <w:tbl>
      <w:tblPr>
        <w:tblStyle w:val="11"/>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1B276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68EE8FEA">
            <w:pPr>
              <w:adjustRightInd w:val="0"/>
              <w:spacing w:line="560" w:lineRule="exact"/>
              <w:jc w:val="center"/>
              <w:rPr>
                <w:rFonts w:ascii="楷体_GB2312" w:hAnsi="楷体_GB2312" w:eastAsia="楷体_GB2312" w:cs="楷体_GB2312"/>
                <w:sz w:val="28"/>
                <w:szCs w:val="32"/>
              </w:rPr>
            </w:pPr>
            <w:r>
              <w:rPr>
                <w:rFonts w:hint="eastAsia" w:ascii="楷体_GB2312" w:hAnsi="楷体_GB2312" w:eastAsia="楷体_GB2312" w:cs="楷体_GB2312"/>
                <w:sz w:val="28"/>
                <w:szCs w:val="32"/>
              </w:rPr>
              <w:t>单位名称</w:t>
            </w:r>
          </w:p>
        </w:tc>
        <w:tc>
          <w:tcPr>
            <w:tcW w:w="6932" w:type="dxa"/>
            <w:gridSpan w:val="3"/>
            <w:vAlign w:val="center"/>
          </w:tcPr>
          <w:p w14:paraId="76AD3A19">
            <w:pPr>
              <w:adjustRightInd w:val="0"/>
              <w:snapToGrid w:val="0"/>
              <w:jc w:val="center"/>
              <w:rPr>
                <w:rFonts w:ascii="仿宋_GB2312" w:hAnsi="仿宋_GB2312" w:eastAsia="仿宋_GB2312" w:cs="仿宋_GB2312"/>
              </w:rPr>
            </w:pPr>
            <w:r>
              <w:rPr>
                <w:rFonts w:hint="eastAsia" w:ascii="仿宋_GB2312" w:hAnsi="仿宋_GB2312" w:eastAsia="仿宋_GB2312" w:cs="仿宋_GB2312"/>
                <w:bCs/>
                <w:spacing w:val="6"/>
                <w:szCs w:val="28"/>
                <w:lang w:val="en-US"/>
              </w:rPr>
              <w:t>中国船舶集团有限公司综合技术经济研究院</w:t>
            </w:r>
          </w:p>
        </w:tc>
      </w:tr>
      <w:tr w14:paraId="5708E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4D0D092C">
            <w:pPr>
              <w:adjustRightInd w:val="0"/>
              <w:snapToGrid w:val="0"/>
              <w:jc w:val="center"/>
              <w:rPr>
                <w:rFonts w:ascii="楷体_GB2312" w:hAnsi="楷体_GB2312" w:eastAsia="楷体_GB2312" w:cs="楷体_GB2312"/>
                <w:bCs/>
                <w:spacing w:val="6"/>
                <w:szCs w:val="28"/>
                <w:lang w:val="en-US"/>
              </w:rPr>
            </w:pPr>
            <w:r>
              <w:rPr>
                <w:rFonts w:hint="eastAsia" w:ascii="楷体_GB2312" w:hAnsi="楷体_GB2312" w:eastAsia="楷体_GB2312" w:cs="楷体_GB2312"/>
                <w:sz w:val="28"/>
                <w:szCs w:val="32"/>
                <w:lang w:val="en-US"/>
              </w:rPr>
              <w:t>单位类型</w:t>
            </w:r>
          </w:p>
        </w:tc>
        <w:tc>
          <w:tcPr>
            <w:tcW w:w="6932" w:type="dxa"/>
            <w:gridSpan w:val="3"/>
            <w:vAlign w:val="center"/>
          </w:tcPr>
          <w:p w14:paraId="74C7E67B">
            <w:pPr>
              <w:adjustRightInd w:val="0"/>
              <w:snapToGrid w:val="0"/>
              <w:jc w:val="center"/>
              <w:rPr>
                <w:rFonts w:ascii="仿宋_GB2312" w:hAnsi="仿宋_GB2312" w:eastAsia="仿宋_GB2312" w:cs="仿宋_GB2312"/>
                <w:bCs/>
                <w:spacing w:val="6"/>
                <w:szCs w:val="28"/>
                <w:lang w:val="en-US"/>
              </w:rPr>
            </w:pPr>
            <w:r>
              <w:rPr>
                <w:rFonts w:hint="eastAsia" w:ascii="仿宋_GB2312" w:hAnsi="仿宋_GB2312" w:eastAsia="仿宋_GB2312" w:cs="仿宋_GB2312"/>
                <w:bCs/>
                <w:spacing w:val="6"/>
                <w:szCs w:val="28"/>
                <w:lang w:val="en-US"/>
              </w:rPr>
              <w:t>中央企业</w:t>
            </w:r>
          </w:p>
        </w:tc>
      </w:tr>
      <w:tr w14:paraId="61467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25B77648">
            <w:pPr>
              <w:adjustRightInd w:val="0"/>
              <w:spacing w:line="560" w:lineRule="exact"/>
              <w:jc w:val="center"/>
              <w:rPr>
                <w:rFonts w:ascii="楷体_GB2312" w:hAnsi="楷体_GB2312" w:eastAsia="楷体_GB2312" w:cs="楷体_GB2312"/>
                <w:sz w:val="28"/>
                <w:szCs w:val="32"/>
              </w:rPr>
            </w:pPr>
            <w:r>
              <w:rPr>
                <w:rFonts w:hint="eastAsia" w:ascii="楷体_GB2312" w:hAnsi="楷体_GB2312" w:eastAsia="楷体_GB2312" w:cs="楷体_GB2312"/>
                <w:sz w:val="28"/>
                <w:szCs w:val="32"/>
              </w:rPr>
              <w:t>地址</w:t>
            </w:r>
          </w:p>
        </w:tc>
        <w:tc>
          <w:tcPr>
            <w:tcW w:w="6932" w:type="dxa"/>
            <w:gridSpan w:val="3"/>
            <w:vAlign w:val="center"/>
          </w:tcPr>
          <w:p w14:paraId="5DE7858B">
            <w:pPr>
              <w:adjustRightInd w:val="0"/>
              <w:jc w:val="center"/>
              <w:rPr>
                <w:rFonts w:ascii="仿宋_GB2312" w:hAnsi="仿宋_GB2312" w:eastAsia="仿宋_GB2312" w:cs="仿宋_GB2312"/>
              </w:rPr>
            </w:pPr>
            <w:r>
              <w:rPr>
                <w:rFonts w:hint="eastAsia" w:ascii="仿宋_GB2312" w:hAnsi="仿宋_GB2312" w:eastAsia="仿宋_GB2312" w:cs="仿宋_GB2312"/>
              </w:rPr>
              <w:t>学院南路7</w:t>
            </w:r>
            <w:r>
              <w:rPr>
                <w:rFonts w:ascii="仿宋_GB2312" w:hAnsi="仿宋_GB2312" w:eastAsia="仿宋_GB2312" w:cs="仿宋_GB2312"/>
              </w:rPr>
              <w:t>0</w:t>
            </w:r>
            <w:r>
              <w:rPr>
                <w:rFonts w:hint="eastAsia" w:ascii="仿宋_GB2312" w:hAnsi="仿宋_GB2312" w:eastAsia="仿宋_GB2312" w:cs="仿宋_GB2312"/>
              </w:rPr>
              <w:t>号</w:t>
            </w:r>
          </w:p>
        </w:tc>
      </w:tr>
      <w:tr w14:paraId="6E31D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581078D2">
            <w:pPr>
              <w:adjustRightInd w:val="0"/>
              <w:spacing w:line="560" w:lineRule="exact"/>
              <w:jc w:val="center"/>
              <w:rPr>
                <w:rFonts w:ascii="楷体_GB2312" w:hAnsi="楷体_GB2312" w:eastAsia="楷体_GB2312" w:cs="楷体_GB2312"/>
                <w:sz w:val="28"/>
                <w:szCs w:val="32"/>
              </w:rPr>
            </w:pPr>
            <w:r>
              <w:rPr>
                <w:rFonts w:hint="eastAsia" w:ascii="楷体_GB2312" w:hAnsi="楷体_GB2312" w:eastAsia="楷体_GB2312" w:cs="楷体_GB2312"/>
                <w:sz w:val="28"/>
                <w:szCs w:val="32"/>
                <w:lang w:val="en-US"/>
              </w:rPr>
              <w:t>单位</w:t>
            </w:r>
            <w:r>
              <w:rPr>
                <w:rFonts w:hint="eastAsia" w:ascii="楷体_GB2312" w:hAnsi="楷体_GB2312" w:eastAsia="楷体_GB2312" w:cs="楷体_GB2312"/>
                <w:sz w:val="28"/>
                <w:szCs w:val="32"/>
              </w:rPr>
              <w:t>简介</w:t>
            </w:r>
          </w:p>
        </w:tc>
        <w:tc>
          <w:tcPr>
            <w:tcW w:w="6932" w:type="dxa"/>
            <w:gridSpan w:val="3"/>
            <w:vAlign w:val="center"/>
          </w:tcPr>
          <w:p w14:paraId="77D9DE17">
            <w:pPr>
              <w:adjustRightInd w:val="0"/>
              <w:snapToGrid w:val="0"/>
              <w:jc w:val="both"/>
              <w:rPr>
                <w:rFonts w:ascii="仿宋_GB2312" w:hAnsi="仿宋_GB2312" w:eastAsia="仿宋_GB2312" w:cs="仿宋_GB2312"/>
                <w:bCs/>
                <w:spacing w:val="6"/>
                <w:szCs w:val="28"/>
              </w:rPr>
            </w:pPr>
            <w:bookmarkStart w:id="4" w:name="OLE_LINK2"/>
            <w:r>
              <w:rPr>
                <w:rFonts w:hint="eastAsia" w:ascii="仿宋_GB2312" w:hAnsi="仿宋_GB2312" w:eastAsia="仿宋_GB2312" w:cs="仿宋_GB2312"/>
              </w:rPr>
              <w:t>中国船舶集团有限公司综合技术经济研究院</w:t>
            </w:r>
            <w:bookmarkEnd w:id="4"/>
            <w:r>
              <w:rPr>
                <w:rFonts w:hint="eastAsia" w:ascii="仿宋_GB2312" w:hAnsi="仿宋_GB2312" w:eastAsia="仿宋_GB2312" w:cs="仿宋_GB2312"/>
              </w:rPr>
              <w:t>（简称“中船综合院”）属于中国船舶集团有限公司，是船舶行业唯一的综合性国防军工技术基础研究单位</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是人因工程全国重点实验室挂靠单位</w:t>
            </w:r>
            <w:r>
              <w:rPr>
                <w:rFonts w:hint="eastAsia" w:ascii="仿宋_GB2312" w:hAnsi="仿宋_GB2312" w:eastAsia="仿宋_GB2312" w:cs="仿宋_GB2312"/>
              </w:rPr>
              <w:t>。中船综合院秉承“支撑国防工业发展，运筹船舶行业未来”的发展使命，聚焦“一流行业智库、一流基础院所、一流央企党校”战略目标，围绕“软实力助力船舶工业高质量发展，基础科研支撑海军战斗力生成”战略主线，构建“北京、广东、青岛、涿州”四地协同发展的空间格局，统筹发挥船舶经济研究、船舶标准化、船舶质量与可靠性、船舶人机工效、知识产权与成果管理、舰船软件测评、国防科技创新管理研究、教育培训、服务设计、文化传媒等专业领域优势，致力于打造成为专业技术突出、业务特色鲜明、质量效益优异、综合影响力强的船舶军工行业一流智库基础科研院所。</w:t>
            </w:r>
          </w:p>
        </w:tc>
      </w:tr>
      <w:tr w14:paraId="126A0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52C29C57">
            <w:pPr>
              <w:adjustRightInd w:val="0"/>
              <w:snapToGrid w:val="0"/>
              <w:ind w:firstLine="280" w:firstLineChars="100"/>
              <w:jc w:val="both"/>
              <w:rPr>
                <w:rFonts w:ascii="楷体_GB2312" w:hAnsi="楷体_GB2312" w:eastAsia="楷体_GB2312" w:cs="楷体_GB2312"/>
                <w:bCs/>
                <w:spacing w:val="6"/>
                <w:szCs w:val="28"/>
              </w:rPr>
            </w:pPr>
            <w:r>
              <w:rPr>
                <w:rFonts w:hint="eastAsia" w:ascii="楷体_GB2312" w:hAnsi="楷体_GB2312" w:eastAsia="楷体_GB2312" w:cs="楷体_GB2312"/>
                <w:sz w:val="28"/>
                <w:szCs w:val="32"/>
                <w:lang w:val="en-US"/>
              </w:rPr>
              <w:t>联系人</w:t>
            </w:r>
          </w:p>
        </w:tc>
        <w:tc>
          <w:tcPr>
            <w:tcW w:w="3076" w:type="dxa"/>
            <w:vAlign w:val="center"/>
          </w:tcPr>
          <w:p w14:paraId="2B9864F5">
            <w:pPr>
              <w:adjustRightInd w:val="0"/>
              <w:snapToGrid w:val="0"/>
              <w:jc w:val="center"/>
              <w:rPr>
                <w:rFonts w:ascii="仿宋_GB2312" w:hAnsi="仿宋_GB2312" w:eastAsia="仿宋_GB2312" w:cs="仿宋_GB2312"/>
                <w:bCs/>
                <w:spacing w:val="6"/>
                <w:szCs w:val="28"/>
                <w:lang w:val="en-US"/>
              </w:rPr>
            </w:pPr>
            <w:r>
              <w:rPr>
                <w:rFonts w:hint="eastAsia" w:ascii="仿宋_GB2312" w:hAnsi="仿宋_GB2312" w:eastAsia="仿宋_GB2312" w:cs="仿宋_GB2312"/>
              </w:rPr>
              <w:t>李宁</w:t>
            </w:r>
          </w:p>
        </w:tc>
        <w:tc>
          <w:tcPr>
            <w:tcW w:w="1073" w:type="dxa"/>
            <w:vAlign w:val="center"/>
          </w:tcPr>
          <w:p w14:paraId="54E5D961">
            <w:pPr>
              <w:adjustRightInd w:val="0"/>
              <w:spacing w:line="560" w:lineRule="exact"/>
              <w:jc w:val="center"/>
              <w:rPr>
                <w:rFonts w:ascii="楷体_GB2312" w:hAnsi="楷体_GB2312" w:eastAsia="楷体_GB2312" w:cs="楷体_GB2312"/>
                <w:sz w:val="28"/>
                <w:szCs w:val="32"/>
              </w:rPr>
            </w:pPr>
            <w:r>
              <w:rPr>
                <w:rFonts w:hint="eastAsia" w:ascii="楷体_GB2312" w:hAnsi="楷体_GB2312" w:eastAsia="楷体_GB2312" w:cs="楷体_GB2312"/>
                <w:sz w:val="28"/>
                <w:szCs w:val="32"/>
              </w:rPr>
              <w:t>职务</w:t>
            </w:r>
          </w:p>
        </w:tc>
        <w:tc>
          <w:tcPr>
            <w:tcW w:w="2783" w:type="dxa"/>
            <w:vAlign w:val="center"/>
          </w:tcPr>
          <w:p w14:paraId="13CF3C77">
            <w:pPr>
              <w:adjustRightInd w:val="0"/>
              <w:snapToGrid w:val="0"/>
              <w:jc w:val="center"/>
              <w:rPr>
                <w:rFonts w:eastAsia="方正仿宋简体"/>
              </w:rPr>
            </w:pPr>
            <w:r>
              <w:rPr>
                <w:rFonts w:hint="eastAsia" w:ascii="仿宋_GB2312" w:hAnsi="仿宋_GB2312" w:eastAsia="仿宋_GB2312" w:cs="仿宋_GB2312"/>
              </w:rPr>
              <w:t>副主任/高级工程师</w:t>
            </w:r>
          </w:p>
        </w:tc>
      </w:tr>
      <w:tr w14:paraId="16709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55150677">
            <w:pPr>
              <w:adjustRightInd w:val="0"/>
              <w:snapToGrid w:val="0"/>
              <w:jc w:val="center"/>
              <w:rPr>
                <w:rFonts w:ascii="楷体_GB2312" w:hAnsi="楷体_GB2312" w:eastAsia="楷体_GB2312" w:cs="楷体_GB2312"/>
                <w:bCs/>
                <w:spacing w:val="6"/>
                <w:szCs w:val="28"/>
                <w:lang w:val="en-US"/>
              </w:rPr>
            </w:pPr>
            <w:r>
              <w:rPr>
                <w:rFonts w:hint="eastAsia" w:ascii="楷体_GB2312" w:hAnsi="楷体_GB2312" w:eastAsia="楷体_GB2312" w:cs="楷体_GB2312"/>
                <w:sz w:val="28"/>
                <w:szCs w:val="32"/>
                <w:lang w:val="en-US"/>
              </w:rPr>
              <w:t>联系方式</w:t>
            </w:r>
          </w:p>
        </w:tc>
        <w:tc>
          <w:tcPr>
            <w:tcW w:w="3076" w:type="dxa"/>
            <w:vAlign w:val="center"/>
          </w:tcPr>
          <w:p w14:paraId="5CFAD810">
            <w:pPr>
              <w:adjustRightInd w:val="0"/>
              <w:snapToGrid w:val="0"/>
              <w:jc w:val="center"/>
              <w:rPr>
                <w:rFonts w:ascii="仿宋_GB2312" w:hAnsi="仿宋_GB2312" w:eastAsia="仿宋_GB2312" w:cs="仿宋_GB2312"/>
                <w:bCs/>
                <w:spacing w:val="6"/>
                <w:szCs w:val="28"/>
                <w:lang w:val="en-US"/>
              </w:rPr>
            </w:pPr>
            <w:r>
              <w:rPr>
                <w:rFonts w:ascii="仿宋_GB2312" w:hAnsi="仿宋_GB2312" w:eastAsia="仿宋_GB2312" w:cs="仿宋_GB2312"/>
              </w:rPr>
              <w:t>15210504416</w:t>
            </w:r>
          </w:p>
        </w:tc>
        <w:tc>
          <w:tcPr>
            <w:tcW w:w="1073" w:type="dxa"/>
            <w:vAlign w:val="center"/>
          </w:tcPr>
          <w:p w14:paraId="27CA6454">
            <w:pPr>
              <w:adjustRightInd w:val="0"/>
              <w:spacing w:line="560" w:lineRule="exact"/>
              <w:jc w:val="center"/>
              <w:rPr>
                <w:rFonts w:ascii="楷体_GB2312" w:hAnsi="楷体_GB2312" w:eastAsia="楷体_GB2312" w:cs="楷体_GB2312"/>
                <w:sz w:val="28"/>
                <w:szCs w:val="32"/>
              </w:rPr>
            </w:pPr>
            <w:r>
              <w:rPr>
                <w:rFonts w:hint="eastAsia" w:ascii="楷体_GB2312" w:hAnsi="楷体_GB2312" w:eastAsia="楷体_GB2312" w:cs="楷体_GB2312"/>
                <w:sz w:val="28"/>
                <w:szCs w:val="32"/>
              </w:rPr>
              <w:t>微信</w:t>
            </w:r>
          </w:p>
        </w:tc>
        <w:tc>
          <w:tcPr>
            <w:tcW w:w="2783" w:type="dxa"/>
            <w:vAlign w:val="center"/>
          </w:tcPr>
          <w:p w14:paraId="2EA4433C">
            <w:pPr>
              <w:adjustRightInd w:val="0"/>
              <w:jc w:val="center"/>
              <w:rPr>
                <w:rFonts w:eastAsia="方正仿宋简体"/>
              </w:rPr>
            </w:pPr>
          </w:p>
        </w:tc>
      </w:tr>
    </w:tbl>
    <w:p w14:paraId="23606221">
      <w:pPr>
        <w:tabs>
          <w:tab w:val="left" w:pos="8640"/>
        </w:tabs>
        <w:adjustRightInd w:val="0"/>
        <w:snapToGrid w:val="0"/>
        <w:spacing w:line="560" w:lineRule="exact"/>
        <w:rPr>
          <w:rFonts w:ascii="方正黑体简体" w:eastAsia="方正黑体简体"/>
          <w:bCs/>
          <w:spacing w:val="6"/>
          <w:sz w:val="32"/>
          <w:szCs w:val="32"/>
        </w:rPr>
      </w:pPr>
      <w:r>
        <w:rPr>
          <w:rFonts w:hint="eastAsia" w:ascii="方正黑体简体" w:eastAsia="方正黑体简体"/>
          <w:bCs/>
          <w:spacing w:val="6"/>
          <w:sz w:val="32"/>
          <w:szCs w:val="32"/>
        </w:rPr>
        <w:t>二、选题说明</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589CB5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564B900">
            <w:pPr>
              <w:adjustRightInd w:val="0"/>
              <w:snapToGrid w:val="0"/>
              <w:spacing w:line="560" w:lineRule="exact"/>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lang w:val="en-US"/>
              </w:rPr>
              <w:t>选题</w:t>
            </w:r>
            <w:r>
              <w:rPr>
                <w:rFonts w:hint="eastAsia" w:ascii="楷体_GB2312" w:hAnsi="楷体_GB2312" w:eastAsia="楷体_GB2312" w:cs="楷体_GB2312"/>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1EB3181">
            <w:pPr>
              <w:adjustRightInd w:val="0"/>
              <w:snapToGrid w:val="0"/>
              <w:jc w:val="center"/>
              <w:rPr>
                <w:rFonts w:ascii="仿宋_GB2312" w:hAnsi="仿宋_GB2312" w:eastAsia="仿宋_GB2312" w:cs="仿宋_GB2312"/>
              </w:rPr>
            </w:pPr>
            <w:r>
              <w:rPr>
                <w:rFonts w:hint="eastAsia" w:ascii="仿宋_GB2312" w:hAnsi="仿宋_GB2312" w:eastAsia="仿宋_GB2312" w:cs="仿宋_GB2312"/>
                <w:bCs/>
                <w:color w:val="000000"/>
                <w:spacing w:val="6"/>
                <w:szCs w:val="28"/>
              </w:rPr>
              <w:t>基于作业人员认知及行</w:t>
            </w:r>
            <w:r>
              <w:rPr>
                <w:rFonts w:hint="eastAsia" w:ascii="仿宋_GB2312" w:hAnsi="仿宋_GB2312" w:eastAsia="仿宋_GB2312" w:cs="仿宋_GB2312"/>
              </w:rPr>
              <w:t>为融合的交互意图预测</w:t>
            </w:r>
          </w:p>
          <w:p w14:paraId="4F00C83A">
            <w:pPr>
              <w:adjustRightInd w:val="0"/>
              <w:snapToGrid w:val="0"/>
              <w:jc w:val="center"/>
              <w:rPr>
                <w:rFonts w:ascii="仿宋_GB2312" w:hAnsi="仿宋_GB2312" w:eastAsia="仿宋_GB2312" w:cs="仿宋_GB2312"/>
                <w:color w:val="000000"/>
              </w:rPr>
            </w:pPr>
            <w:r>
              <w:rPr>
                <w:rFonts w:hint="eastAsia" w:ascii="仿宋_GB2312" w:hAnsi="仿宋_GB2312" w:eastAsia="仿宋_GB2312" w:cs="仿宋_GB2312"/>
              </w:rPr>
              <w:t>及智能推理</w:t>
            </w:r>
            <w:r>
              <w:rPr>
                <w:rFonts w:hint="eastAsia" w:ascii="仿宋_GB2312" w:hAnsi="仿宋_GB2312" w:eastAsia="仿宋_GB2312" w:cs="仿宋_GB2312"/>
                <w:bCs/>
                <w:color w:val="000000"/>
                <w:spacing w:val="6"/>
                <w:szCs w:val="28"/>
              </w:rPr>
              <w:t>模型</w:t>
            </w:r>
          </w:p>
        </w:tc>
      </w:tr>
      <w:tr w14:paraId="3B7C59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9C2B0A4">
            <w:pPr>
              <w:adjustRightInd w:val="0"/>
              <w:snapToGrid w:val="0"/>
              <w:spacing w:line="560" w:lineRule="exact"/>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9DFCFB7">
            <w:pPr>
              <w:adjustRightInd w:val="0"/>
              <w:snapToGrid w:val="0"/>
              <w:ind w:firstLine="480" w:firstLineChars="200"/>
              <w:jc w:val="both"/>
              <w:rPr>
                <w:rFonts w:ascii="仿宋_GB2312" w:hAnsi="仿宋_GB2312" w:eastAsia="仿宋_GB2312" w:cs="仿宋_GB2312"/>
                <w:color w:val="000000"/>
              </w:rPr>
            </w:pPr>
            <w:r>
              <w:rPr>
                <w:rFonts w:hint="eastAsia" w:ascii="仿宋_GB2312" w:eastAsia="仿宋_GB2312"/>
              </w:rPr>
              <w:t>本选题是一个人机工效、人工智能、信息技术、装备系统及工业产品等高度交叉的前沿领域。它旨在通过实时、多维度地捕捉和分析作业人员的认知状态与行为，来预测作业人员的交互意图，并以此为智能系统提供推理和辅助决策的能力，能够支持多个前沿领域的技术。</w:t>
            </w:r>
          </w:p>
        </w:tc>
      </w:tr>
      <w:tr w14:paraId="3CD54A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370B7EA">
            <w:pPr>
              <w:adjustRightInd w:val="0"/>
              <w:snapToGrid w:val="0"/>
              <w:spacing w:line="560" w:lineRule="exact"/>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5ACD1C5">
            <w:pPr>
              <w:adjustRightInd w:val="0"/>
              <w:snapToGrid w:val="0"/>
              <w:ind w:firstLine="480" w:firstLineChars="200"/>
              <w:jc w:val="both"/>
              <w:rPr>
                <w:rFonts w:ascii="仿宋_GB2312" w:eastAsia="仿宋_GB2312"/>
              </w:rPr>
            </w:pPr>
            <w:r>
              <w:rPr>
                <w:rFonts w:hint="eastAsia" w:ascii="仿宋_GB2312" w:eastAsia="仿宋_GB2312"/>
              </w:rPr>
              <w:t>智能系统在复杂系统操作任务中，正从被动的工具向主动的、具备情境感知与认知能力的协助伙伴演进，特别是在协助人员学习与适应方面，需要通过系统以智能协助支撑的方式帮助作业人员完成任务，特别是在帮助新的用户学习复杂系统，或是用户学习新的任务过程中，智能协助起到非常重要的作用。在传统的新用户和学习新任务系统时，通常采用操作手册的方式，但是传统操作手册往往存在效率低下的问题，尤其是在涉及繁琐流程的场景中，作业人员需要在有限时间内快速理解任务逻辑与操作步骤。</w:t>
            </w:r>
          </w:p>
          <w:p w14:paraId="3AA8F721">
            <w:pPr>
              <w:adjustRightInd w:val="0"/>
              <w:snapToGrid w:val="0"/>
              <w:ind w:firstLine="480" w:firstLineChars="200"/>
              <w:jc w:val="both"/>
              <w:rPr>
                <w:rFonts w:ascii="仿宋_GB2312" w:hAnsi="仿宋_GB2312" w:eastAsia="仿宋_GB2312" w:cs="仿宋_GB2312"/>
                <w:bCs/>
                <w:color w:val="000000"/>
                <w:spacing w:val="6"/>
                <w:szCs w:val="28"/>
                <w:lang w:val="en-US"/>
              </w:rPr>
            </w:pPr>
            <w:r>
              <w:rPr>
                <w:rFonts w:ascii="仿宋_GB2312" w:eastAsia="仿宋_GB2312"/>
              </w:rPr>
              <w:t>本</w:t>
            </w:r>
            <w:r>
              <w:rPr>
                <w:rFonts w:hint="eastAsia" w:ascii="仿宋_GB2312" w:eastAsia="仿宋_GB2312"/>
              </w:rPr>
              <w:t>选题</w:t>
            </w:r>
            <w:r>
              <w:rPr>
                <w:rFonts w:ascii="仿宋_GB2312" w:eastAsia="仿宋_GB2312"/>
              </w:rPr>
              <w:t>以复杂任务执行需求为背景，通过</w:t>
            </w:r>
            <w:r>
              <w:rPr>
                <w:rFonts w:hint="eastAsia" w:ascii="仿宋_GB2312" w:eastAsia="仿宋_GB2312"/>
              </w:rPr>
              <w:t>提取基于作业人员眼动及行为数据，建立基于关键眼动特征及交互行为学习的意图预测模型，构建面向新用户、新任务适配的交互式意图的智能推理应用方法</w:t>
            </w:r>
            <w:r>
              <w:rPr>
                <w:rFonts w:ascii="仿宋_GB2312" w:eastAsia="仿宋_GB2312"/>
              </w:rPr>
              <w:t>，从而</w:t>
            </w:r>
            <w:r>
              <w:rPr>
                <w:rFonts w:hint="eastAsia" w:ascii="仿宋_GB2312" w:eastAsia="仿宋_GB2312"/>
              </w:rPr>
              <w:t>为</w:t>
            </w:r>
            <w:r>
              <w:rPr>
                <w:rFonts w:ascii="仿宋_GB2312" w:eastAsia="仿宋_GB2312"/>
              </w:rPr>
              <w:t>辅助作业人员完成系统交互动作，以提升交互效率</w:t>
            </w:r>
            <w:r>
              <w:rPr>
                <w:rFonts w:hint="eastAsia" w:ascii="仿宋_GB2312" w:eastAsia="仿宋_GB2312"/>
              </w:rPr>
              <w:t>的应用领域提供支撑</w:t>
            </w:r>
            <w:r>
              <w:rPr>
                <w:rFonts w:ascii="仿宋_GB2312" w:eastAsia="仿宋_GB2312"/>
              </w:rPr>
              <w:t>。</w:t>
            </w:r>
          </w:p>
        </w:tc>
      </w:tr>
      <w:tr w14:paraId="22A4CD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262B0A0">
            <w:pPr>
              <w:adjustRightInd w:val="0"/>
              <w:snapToGrid w:val="0"/>
              <w:spacing w:line="560" w:lineRule="exact"/>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BACDD8E">
            <w:pPr>
              <w:overflowPunct w:val="0"/>
              <w:adjustRightInd w:val="0"/>
              <w:ind w:firstLine="482" w:firstLineChars="200"/>
              <w:rPr>
                <w:rFonts w:ascii="仿宋_GB2312" w:eastAsia="仿宋_GB2312"/>
                <w:b/>
              </w:rPr>
            </w:pPr>
            <w:r>
              <w:rPr>
                <w:rFonts w:hint="eastAsia" w:ascii="仿宋_GB2312" w:eastAsia="仿宋_GB2312"/>
                <w:b/>
              </w:rPr>
              <w:t>1</w:t>
            </w:r>
            <w:r>
              <w:rPr>
                <w:rFonts w:ascii="仿宋_GB2312" w:eastAsia="仿宋_GB2312"/>
                <w:b/>
              </w:rPr>
              <w:t>.</w:t>
            </w:r>
            <w:r>
              <w:rPr>
                <w:rFonts w:hint="eastAsia" w:ascii="仿宋_GB2312" w:eastAsia="仿宋_GB2312"/>
                <w:b/>
              </w:rPr>
              <w:t>答题要求</w:t>
            </w:r>
          </w:p>
          <w:p w14:paraId="61BC86F6">
            <w:pPr>
              <w:adjustRightInd w:val="0"/>
              <w:snapToGrid w:val="0"/>
              <w:ind w:firstLine="480" w:firstLineChars="200"/>
              <w:jc w:val="both"/>
              <w:rPr>
                <w:rFonts w:ascii="仿宋_GB2312" w:eastAsia="仿宋_GB2312"/>
              </w:rPr>
            </w:pPr>
            <w:r>
              <w:rPr>
                <w:rFonts w:hint="eastAsia" w:ascii="仿宋_GB2312" w:eastAsia="仿宋_GB2312"/>
              </w:rPr>
              <w:t>构建一套基于作业人员认知及行为融合的交互意图预测及智能推理模型，包含以下内容：</w:t>
            </w:r>
          </w:p>
          <w:p w14:paraId="18927C23">
            <w:pPr>
              <w:adjustRightInd w:val="0"/>
              <w:snapToGrid w:val="0"/>
              <w:ind w:firstLine="480" w:firstLineChars="200"/>
              <w:jc w:val="both"/>
              <w:rPr>
                <w:rFonts w:ascii="仿宋_GB2312" w:eastAsia="仿宋_GB2312"/>
              </w:rPr>
            </w:pPr>
            <w:r>
              <w:rPr>
                <w:rFonts w:hint="eastAsia" w:ascii="仿宋_GB2312" w:eastAsia="仿宋_GB2312"/>
              </w:rPr>
              <w:t>（</w:t>
            </w:r>
            <w:r>
              <w:rPr>
                <w:rFonts w:ascii="仿宋_GB2312" w:eastAsia="仿宋_GB2312"/>
              </w:rPr>
              <w:t>1</w:t>
            </w:r>
            <w:r>
              <w:rPr>
                <w:rFonts w:hint="eastAsia" w:ascii="仿宋_GB2312" w:eastAsia="仿宋_GB2312"/>
              </w:rPr>
              <w:t>）提取基于作业人员眼动及行为数据，筛选出与用户操作意图高度相关的眼动关键特征，然后结合这些特征设计意图预测模型方案，包括模型的输入结构、特征处理方式、网络架构选择以及训练策略，建立基于关键眼动特征及交互行为学习的意图预测模型，预测准确度不低于8</w:t>
            </w:r>
            <w:r>
              <w:rPr>
                <w:rFonts w:ascii="仿宋_GB2312" w:eastAsia="仿宋_GB2312"/>
              </w:rPr>
              <w:t>0%</w:t>
            </w:r>
            <w:r>
              <w:rPr>
                <w:rFonts w:hint="eastAsia" w:ascii="仿宋_GB2312" w:eastAsia="仿宋_GB2312"/>
              </w:rPr>
              <w:t>；</w:t>
            </w:r>
          </w:p>
          <w:p w14:paraId="46B10C5A">
            <w:pPr>
              <w:adjustRightInd w:val="0"/>
              <w:snapToGrid w:val="0"/>
              <w:ind w:firstLine="480" w:firstLineChars="200"/>
              <w:jc w:val="both"/>
              <w:rPr>
                <w:rFonts w:ascii="仿宋_GB2312" w:eastAsia="仿宋_GB2312"/>
              </w:rPr>
            </w:pPr>
            <w:r>
              <w:rPr>
                <w:rFonts w:ascii="仿宋_GB2312" w:eastAsia="仿宋_GB2312"/>
              </w:rPr>
              <w:t>（2）</w:t>
            </w:r>
            <w:r>
              <w:rPr>
                <w:rFonts w:hint="eastAsia" w:ascii="仿宋_GB2312" w:eastAsia="仿宋_GB2312"/>
              </w:rPr>
              <w:t>模型具备适配学习新任务功能，至少体现不少于</w:t>
            </w:r>
            <w:r>
              <w:rPr>
                <w:rFonts w:ascii="仿宋_GB2312" w:eastAsia="仿宋_GB2312"/>
              </w:rPr>
              <w:t>2个</w:t>
            </w:r>
            <w:r>
              <w:rPr>
                <w:rFonts w:hint="eastAsia" w:ascii="仿宋_GB2312" w:eastAsia="仿宋_GB2312"/>
              </w:rPr>
              <w:t>典型任务流</w:t>
            </w:r>
            <w:r>
              <w:rPr>
                <w:rFonts w:ascii="仿宋_GB2312" w:eastAsia="仿宋_GB2312"/>
              </w:rPr>
              <w:t>场景</w:t>
            </w:r>
            <w:r>
              <w:rPr>
                <w:rFonts w:hint="eastAsia" w:ascii="仿宋_GB2312" w:eastAsia="仿宋_GB2312"/>
              </w:rPr>
              <w:t>，模型能够快速学习新任务的预测与推理下一步操作的功能，并引导用户完成新任务交互模式，并通过实验验证。</w:t>
            </w:r>
          </w:p>
          <w:p w14:paraId="1133B709">
            <w:pPr>
              <w:adjustRightInd w:val="0"/>
              <w:snapToGrid w:val="0"/>
              <w:ind w:firstLine="480" w:firstLineChars="200"/>
              <w:jc w:val="both"/>
              <w:rPr>
                <w:rFonts w:ascii="仿宋_GB2312" w:eastAsia="仿宋_GB2312"/>
              </w:rPr>
            </w:pPr>
            <w:r>
              <w:rPr>
                <w:rFonts w:hint="eastAsia" w:ascii="仿宋_GB2312" w:eastAsia="仿宋_GB2312"/>
              </w:rPr>
              <w:t>（</w:t>
            </w:r>
            <w:r>
              <w:rPr>
                <w:rFonts w:ascii="仿宋_GB2312" w:eastAsia="仿宋_GB2312"/>
              </w:rPr>
              <w:t>3</w:t>
            </w:r>
            <w:r>
              <w:rPr>
                <w:rFonts w:hint="eastAsia" w:ascii="仿宋_GB2312" w:eastAsia="仿宋_GB2312"/>
              </w:rPr>
              <w:t>）实现面向新用户培训的交互式意图预测和智能推理方法，实现从眼动数据采集、预处理、模型推理到结果反馈与新任务学习模式，并通过演示验证，有助于提升新用户、新任务的训练效率。</w:t>
            </w:r>
          </w:p>
          <w:p w14:paraId="08017BB0">
            <w:pPr>
              <w:adjustRightInd w:val="0"/>
              <w:snapToGrid w:val="0"/>
              <w:ind w:firstLine="480" w:firstLineChars="200"/>
              <w:jc w:val="both"/>
              <w:rPr>
                <w:rFonts w:ascii="仿宋_GB2312" w:eastAsia="仿宋_GB2312"/>
              </w:rPr>
            </w:pPr>
            <w:r>
              <w:rPr>
                <w:rFonts w:hint="eastAsia" w:ascii="仿宋_GB2312" w:eastAsia="仿宋_GB2312"/>
              </w:rPr>
              <w:t>（4）提交成果形式包含针对上述问题成果形式如下：</w:t>
            </w:r>
          </w:p>
          <w:p w14:paraId="3BF2B0E1">
            <w:pPr>
              <w:adjustRightInd w:val="0"/>
              <w:snapToGrid w:val="0"/>
              <w:ind w:firstLine="480" w:firstLineChars="200"/>
              <w:jc w:val="both"/>
              <w:rPr>
                <w:rFonts w:ascii="仿宋_GB2312" w:eastAsia="仿宋_GB2312"/>
              </w:rPr>
            </w:pPr>
            <w:r>
              <w:rPr>
                <w:rFonts w:ascii="仿宋_GB2312" w:eastAsia="仿宋_GB2312"/>
              </w:rPr>
              <w:fldChar w:fldCharType="begin"/>
            </w:r>
            <w:r>
              <w:rPr>
                <w:rFonts w:ascii="仿宋_GB2312" w:eastAsia="仿宋_GB2312"/>
              </w:rPr>
              <w:instrText xml:space="preserve"> </w:instrText>
            </w:r>
            <w:r>
              <w:rPr>
                <w:rFonts w:hint="eastAsia" w:ascii="仿宋_GB2312" w:eastAsia="仿宋_GB2312"/>
              </w:rPr>
              <w:instrText xml:space="preserve">= 1 \* GB3</w:instrText>
            </w:r>
            <w:r>
              <w:rPr>
                <w:rFonts w:ascii="仿宋_GB2312" w:eastAsia="仿宋_GB2312"/>
              </w:rPr>
              <w:instrText xml:space="preserve"> </w:instrText>
            </w:r>
            <w:r>
              <w:rPr>
                <w:rFonts w:ascii="仿宋_GB2312" w:eastAsia="仿宋_GB2312"/>
              </w:rPr>
              <w:fldChar w:fldCharType="separate"/>
            </w:r>
            <w:r>
              <w:rPr>
                <w:rFonts w:hint="eastAsia" w:ascii="仿宋_GB2312" w:eastAsia="仿宋_GB2312"/>
              </w:rPr>
              <w:t>①</w:t>
            </w:r>
            <w:r>
              <w:rPr>
                <w:rFonts w:ascii="仿宋_GB2312" w:eastAsia="仿宋_GB2312"/>
              </w:rPr>
              <w:fldChar w:fldCharType="end"/>
            </w:r>
            <w:r>
              <w:rPr>
                <w:rFonts w:hint="eastAsia" w:ascii="仿宋_GB2312" w:eastAsia="仿宋_GB2312"/>
              </w:rPr>
              <w:t>研究报告1份，报告需要阐述问题分析过程、模型构建思路、算法设计原理、实验结果以及验证情况等；</w:t>
            </w:r>
          </w:p>
          <w:p w14:paraId="68788C71">
            <w:pPr>
              <w:adjustRightInd w:val="0"/>
              <w:snapToGrid w:val="0"/>
              <w:ind w:firstLine="480" w:firstLineChars="200"/>
              <w:jc w:val="both"/>
              <w:rPr>
                <w:rFonts w:ascii="仿宋_GB2312" w:eastAsia="仿宋_GB2312"/>
              </w:rPr>
            </w:pPr>
            <w:r>
              <w:rPr>
                <w:rFonts w:ascii="仿宋_GB2312" w:eastAsia="仿宋_GB2312"/>
              </w:rPr>
              <w:fldChar w:fldCharType="begin"/>
            </w:r>
            <w:r>
              <w:rPr>
                <w:rFonts w:ascii="仿宋_GB2312" w:eastAsia="仿宋_GB2312"/>
              </w:rPr>
              <w:instrText xml:space="preserve"> </w:instrText>
            </w:r>
            <w:r>
              <w:rPr>
                <w:rFonts w:hint="eastAsia" w:ascii="仿宋_GB2312" w:eastAsia="仿宋_GB2312"/>
              </w:rPr>
              <w:instrText xml:space="preserve">= 2 \* GB3</w:instrText>
            </w:r>
            <w:r>
              <w:rPr>
                <w:rFonts w:ascii="仿宋_GB2312" w:eastAsia="仿宋_GB2312"/>
              </w:rPr>
              <w:instrText xml:space="preserve"> </w:instrText>
            </w:r>
            <w:r>
              <w:rPr>
                <w:rFonts w:ascii="仿宋_GB2312" w:eastAsia="仿宋_GB2312"/>
              </w:rPr>
              <w:fldChar w:fldCharType="separate"/>
            </w:r>
            <w:r>
              <w:rPr>
                <w:rFonts w:hint="eastAsia" w:ascii="仿宋_GB2312" w:eastAsia="仿宋_GB2312"/>
              </w:rPr>
              <w:t>②</w:t>
            </w:r>
            <w:r>
              <w:rPr>
                <w:rFonts w:ascii="仿宋_GB2312" w:eastAsia="仿宋_GB2312"/>
              </w:rPr>
              <w:fldChar w:fldCharType="end"/>
            </w:r>
            <w:r>
              <w:rPr>
                <w:rFonts w:hint="eastAsia" w:ascii="仿宋_GB2312" w:eastAsia="仿宋_GB2312"/>
              </w:rPr>
              <w:t>演示软件及模型算法代码1套，包含完整、可运行的模型实现代码，可部署演示运行。</w:t>
            </w:r>
          </w:p>
          <w:p w14:paraId="73B0A9AF">
            <w:pPr>
              <w:adjustRightInd w:val="0"/>
              <w:snapToGrid w:val="0"/>
              <w:ind w:firstLine="480" w:firstLineChars="200"/>
              <w:jc w:val="both"/>
              <w:rPr>
                <w:rFonts w:ascii="仿宋_GB2312" w:eastAsia="仿宋_GB2312"/>
              </w:rPr>
            </w:pPr>
            <w:r>
              <w:rPr>
                <w:rFonts w:ascii="仿宋_GB2312" w:eastAsia="仿宋_GB2312"/>
              </w:rPr>
              <w:fldChar w:fldCharType="begin"/>
            </w:r>
            <w:r>
              <w:rPr>
                <w:rFonts w:ascii="仿宋_GB2312" w:eastAsia="仿宋_GB2312"/>
              </w:rPr>
              <w:instrText xml:space="preserve"> </w:instrText>
            </w:r>
            <w:r>
              <w:rPr>
                <w:rFonts w:hint="eastAsia" w:ascii="仿宋_GB2312" w:eastAsia="仿宋_GB2312"/>
              </w:rPr>
              <w:instrText xml:space="preserve">= 3 \* GB3</w:instrText>
            </w:r>
            <w:r>
              <w:rPr>
                <w:rFonts w:ascii="仿宋_GB2312" w:eastAsia="仿宋_GB2312"/>
              </w:rPr>
              <w:instrText xml:space="preserve"> </w:instrText>
            </w:r>
            <w:r>
              <w:rPr>
                <w:rFonts w:ascii="仿宋_GB2312" w:eastAsia="仿宋_GB2312"/>
              </w:rPr>
              <w:fldChar w:fldCharType="separate"/>
            </w:r>
            <w:r>
              <w:rPr>
                <w:rFonts w:hint="eastAsia" w:ascii="仿宋_GB2312" w:eastAsia="仿宋_GB2312"/>
              </w:rPr>
              <w:t>③</w:t>
            </w:r>
            <w:r>
              <w:rPr>
                <w:rFonts w:ascii="仿宋_GB2312" w:eastAsia="仿宋_GB2312"/>
              </w:rPr>
              <w:fldChar w:fldCharType="end"/>
            </w:r>
            <w:r>
              <w:rPr>
                <w:rFonts w:hint="eastAsia" w:ascii="仿宋_GB2312" w:eastAsia="仿宋_GB2312"/>
              </w:rPr>
              <w:t>知识产权成果1项，结合关键技术问题，提交一篇论文，发明专利或者软件著作权，至少1项。</w:t>
            </w:r>
          </w:p>
          <w:p w14:paraId="5B6A8839">
            <w:pPr>
              <w:overflowPunct w:val="0"/>
              <w:adjustRightInd w:val="0"/>
              <w:ind w:firstLine="482" w:firstLineChars="200"/>
              <w:rPr>
                <w:rFonts w:ascii="仿宋_GB2312" w:eastAsia="仿宋_GB2312"/>
                <w:b/>
              </w:rPr>
            </w:pPr>
            <w:r>
              <w:rPr>
                <w:rFonts w:hint="eastAsia" w:ascii="仿宋_GB2312" w:eastAsia="仿宋_GB2312"/>
                <w:b/>
              </w:rPr>
              <w:t>2</w:t>
            </w:r>
            <w:r>
              <w:rPr>
                <w:rFonts w:ascii="仿宋_GB2312" w:eastAsia="仿宋_GB2312"/>
                <w:b/>
              </w:rPr>
              <w:t>.</w:t>
            </w:r>
            <w:r>
              <w:rPr>
                <w:rFonts w:hint="eastAsia" w:ascii="仿宋_GB2312" w:eastAsia="仿宋_GB2312"/>
                <w:b/>
              </w:rPr>
              <w:t>作品提交时间</w:t>
            </w:r>
          </w:p>
          <w:p w14:paraId="20F8D10B">
            <w:pPr>
              <w:adjustRightInd w:val="0"/>
              <w:snapToGrid w:val="0"/>
              <w:ind w:firstLine="480" w:firstLineChars="200"/>
              <w:jc w:val="both"/>
              <w:rPr>
                <w:rFonts w:ascii="仿宋_GB2312" w:eastAsia="仿宋_GB2312"/>
              </w:rPr>
            </w:pPr>
            <w:r>
              <w:rPr>
                <w:rFonts w:ascii="仿宋_GB2312" w:eastAsia="仿宋_GB2312"/>
              </w:rPr>
              <w:t xml:space="preserve">2026 年 5 月-8 月，各高校组织学生参赛，安排专业人员给予指导，为参赛团队提供支持保障。 </w:t>
            </w:r>
          </w:p>
          <w:p w14:paraId="047860C7">
            <w:pPr>
              <w:adjustRightInd w:val="0"/>
              <w:snapToGrid w:val="0"/>
              <w:ind w:firstLine="480" w:firstLineChars="200"/>
              <w:jc w:val="both"/>
              <w:rPr>
                <w:rFonts w:ascii="仿宋_GB2312" w:eastAsia="仿宋_GB2312"/>
              </w:rPr>
            </w:pPr>
            <w:r>
              <w:rPr>
                <w:rFonts w:ascii="仿宋_GB2312" w:eastAsia="仿宋_GB2312"/>
              </w:rPr>
              <w:t xml:space="preserve">2026 年8月15 日前，各参赛团队通过大赛申报系统提交作品，具体要求详见作品提交方式。 </w:t>
            </w:r>
          </w:p>
          <w:p w14:paraId="1925543D">
            <w:pPr>
              <w:adjustRightInd w:val="0"/>
              <w:snapToGrid w:val="0"/>
              <w:ind w:firstLine="480" w:firstLineChars="200"/>
              <w:jc w:val="both"/>
              <w:rPr>
                <w:rFonts w:ascii="仿宋_GB2312" w:eastAsia="仿宋_GB2312"/>
              </w:rPr>
            </w:pPr>
            <w:r>
              <w:rPr>
                <w:rFonts w:ascii="仿宋_GB2312" w:eastAsia="仿宋_GB2312"/>
              </w:rPr>
              <w:t>2026 年 8 月底前，由大赛组委会会同发榜单位共同完成初审，确定入围终审擂台赛的晋级作品和团队。</w:t>
            </w:r>
          </w:p>
          <w:p w14:paraId="481D6680">
            <w:pPr>
              <w:adjustRightInd w:val="0"/>
              <w:snapToGrid w:val="0"/>
              <w:ind w:firstLine="480" w:firstLineChars="200"/>
              <w:jc w:val="both"/>
              <w:rPr>
                <w:rFonts w:ascii="仿宋_GB2312" w:eastAsia="仿宋_GB2312"/>
              </w:rPr>
            </w:pPr>
            <w:r>
              <w:rPr>
                <w:rFonts w:ascii="仿宋_GB2312" w:eastAsia="仿宋_GB2312"/>
              </w:rPr>
              <w:t>2026 年 9 月，发榜单位安排专门团队提供帮助和指导， 各晋级团队完善作品，冲刺攻关参加终审擂台赛，角逐“擂主”</w:t>
            </w:r>
            <w:r>
              <w:rPr>
                <w:rFonts w:hint="eastAsia" w:ascii="仿宋_GB2312" w:eastAsia="仿宋_GB2312"/>
              </w:rPr>
              <w:t>。</w:t>
            </w:r>
          </w:p>
          <w:p w14:paraId="2AF21B23">
            <w:pPr>
              <w:overflowPunct w:val="0"/>
              <w:adjustRightInd w:val="0"/>
              <w:ind w:firstLine="482" w:firstLineChars="200"/>
              <w:rPr>
                <w:rFonts w:ascii="仿宋_GB2312" w:eastAsia="仿宋_GB2312"/>
                <w:b/>
              </w:rPr>
            </w:pPr>
            <w:r>
              <w:rPr>
                <w:rFonts w:hint="eastAsia" w:ascii="仿宋_GB2312" w:eastAsia="仿宋_GB2312"/>
                <w:b/>
              </w:rPr>
              <w:t>3作品提交渠道</w:t>
            </w:r>
          </w:p>
          <w:p w14:paraId="2507D101">
            <w:pPr>
              <w:adjustRightInd w:val="0"/>
              <w:snapToGrid w:val="0"/>
              <w:ind w:firstLine="480" w:firstLineChars="200"/>
              <w:jc w:val="both"/>
              <w:rPr>
                <w:rFonts w:ascii="仿宋_GB2312" w:eastAsia="仿宋_GB2312"/>
              </w:rPr>
            </w:pPr>
            <w:r>
              <w:rPr>
                <w:rFonts w:hint="eastAsia" w:ascii="仿宋_GB2312" w:eastAsia="仿宋_GB2312"/>
              </w:rPr>
              <w:t>参赛团队申报作品统一打包压缩提交至大赛申报系统，压缩包命名方式为：申报人所在单位-申报人姓名-作品名称-联系电话（例如：XX 大学-张 XX-XX 方案-手机号）</w:t>
            </w:r>
          </w:p>
          <w:p w14:paraId="5B1919DF">
            <w:pPr>
              <w:adjustRightInd w:val="0"/>
              <w:snapToGrid w:val="0"/>
              <w:ind w:firstLine="480" w:firstLineChars="200"/>
              <w:jc w:val="both"/>
              <w:rPr>
                <w:rFonts w:ascii="仿宋_GB2312" w:hAnsi="仿宋_GB2312" w:eastAsia="仿宋_GB2312" w:cs="仿宋_GB2312"/>
                <w:color w:val="000000"/>
              </w:rPr>
            </w:pPr>
            <w:r>
              <w:rPr>
                <w:rFonts w:hint="eastAsia" w:ascii="仿宋_GB2312" w:eastAsia="仿宋_GB2312"/>
              </w:rPr>
              <w:t>如遇文件过大无法上传可另将无法上传文件刻录光盘并邮寄，邮寄地址：北京市海淀区学院南路7</w:t>
            </w:r>
            <w:r>
              <w:rPr>
                <w:rFonts w:ascii="仿宋_GB2312" w:eastAsia="仿宋_GB2312"/>
              </w:rPr>
              <w:t>0</w:t>
            </w:r>
            <w:r>
              <w:rPr>
                <w:rFonts w:hint="eastAsia" w:ascii="仿宋_GB2312" w:eastAsia="仿宋_GB2312"/>
              </w:rPr>
              <w:t>号 王老师收，电话：</w:t>
            </w:r>
            <w:r>
              <w:rPr>
                <w:rFonts w:ascii="仿宋_GB2312" w:eastAsia="仿宋_GB2312"/>
              </w:rPr>
              <w:t>15532016329</w:t>
            </w:r>
          </w:p>
        </w:tc>
      </w:tr>
      <w:tr w14:paraId="02CB3A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7E9C8A">
            <w:pPr>
              <w:overflowPunct w:val="0"/>
              <w:adjustRightInd w:val="0"/>
              <w:snapToGrid w:val="0"/>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作品评审</w:t>
            </w:r>
          </w:p>
          <w:p w14:paraId="00FEED18">
            <w:pPr>
              <w:overflowPunct w:val="0"/>
              <w:adjustRightInd w:val="0"/>
              <w:snapToGrid w:val="0"/>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CBDC25">
            <w:pPr>
              <w:adjustRightInd w:val="0"/>
              <w:snapToGrid w:val="0"/>
              <w:ind w:firstLine="480" w:firstLineChars="200"/>
              <w:jc w:val="both"/>
              <w:rPr>
                <w:rFonts w:ascii="仿宋_GB2312" w:eastAsia="仿宋_GB2312"/>
              </w:rPr>
            </w:pPr>
            <w:r>
              <w:rPr>
                <w:rFonts w:hint="eastAsia" w:ascii="仿宋_GB2312" w:eastAsia="仿宋_GB2312"/>
              </w:rPr>
              <w:t>构建一套基于作业人员认知及行为融合的交互意图预测及智能推理模型，针对答题要求及提交形式，评委主要从作品的研究内容的覆盖性、功能完整性、过程丰富性、科学性、实用性等五个维度进行综合评价，各维度所占分值情况如下：</w:t>
            </w:r>
          </w:p>
          <w:p w14:paraId="28C95EB2">
            <w:pPr>
              <w:adjustRightInd w:val="0"/>
              <w:snapToGrid w:val="0"/>
              <w:ind w:firstLine="480" w:firstLineChars="200"/>
              <w:jc w:val="both"/>
              <w:rPr>
                <w:rFonts w:ascii="仿宋_GB2312" w:eastAsia="仿宋_GB2312"/>
              </w:rPr>
            </w:pPr>
            <w:r>
              <w:rPr>
                <w:rFonts w:hint="eastAsia" w:ascii="仿宋_GB2312" w:eastAsia="仿宋_GB2312"/>
              </w:rPr>
              <w:t>（1）研究报告所包含研究内容的覆盖性：</w:t>
            </w:r>
            <w:r>
              <w:rPr>
                <w:rFonts w:ascii="仿宋_GB2312" w:eastAsia="仿宋_GB2312"/>
              </w:rPr>
              <w:t>20</w:t>
            </w:r>
            <w:r>
              <w:rPr>
                <w:rFonts w:hint="eastAsia" w:ascii="仿宋_GB2312" w:eastAsia="仿宋_GB2312"/>
              </w:rPr>
              <w:t>分：</w:t>
            </w:r>
          </w:p>
          <w:p w14:paraId="504291D4">
            <w:pPr>
              <w:adjustRightInd w:val="0"/>
              <w:snapToGrid w:val="0"/>
              <w:ind w:firstLine="480" w:firstLineChars="200"/>
              <w:jc w:val="both"/>
              <w:rPr>
                <w:rFonts w:ascii="仿宋_GB2312" w:eastAsia="仿宋_GB2312"/>
              </w:rPr>
            </w:pPr>
            <w:r>
              <w:rPr>
                <w:rFonts w:hint="eastAsia" w:ascii="仿宋_GB2312" w:eastAsia="仿宋_GB2312"/>
              </w:rPr>
              <w:t>（</w:t>
            </w:r>
            <w:r>
              <w:rPr>
                <w:rFonts w:ascii="仿宋_GB2312" w:eastAsia="仿宋_GB2312"/>
              </w:rPr>
              <w:t>2</w:t>
            </w:r>
            <w:r>
              <w:rPr>
                <w:rFonts w:hint="eastAsia" w:ascii="仿宋_GB2312" w:eastAsia="仿宋_GB2312"/>
              </w:rPr>
              <w:t>）模型及软件功能实现完整性：</w:t>
            </w:r>
            <w:r>
              <w:rPr>
                <w:rFonts w:ascii="仿宋_GB2312" w:eastAsia="仿宋_GB2312"/>
              </w:rPr>
              <w:t>20</w:t>
            </w:r>
            <w:r>
              <w:rPr>
                <w:rFonts w:hint="eastAsia" w:ascii="仿宋_GB2312" w:eastAsia="仿宋_GB2312"/>
              </w:rPr>
              <w:t>分</w:t>
            </w:r>
          </w:p>
          <w:p w14:paraId="24E15094">
            <w:pPr>
              <w:adjustRightInd w:val="0"/>
              <w:snapToGrid w:val="0"/>
              <w:ind w:firstLine="480" w:firstLineChars="200"/>
              <w:jc w:val="both"/>
              <w:rPr>
                <w:rFonts w:ascii="仿宋_GB2312" w:eastAsia="仿宋_GB2312"/>
              </w:rPr>
            </w:pPr>
            <w:r>
              <w:rPr>
                <w:rFonts w:hint="eastAsia" w:ascii="仿宋_GB2312" w:eastAsia="仿宋_GB2312"/>
              </w:rPr>
              <w:t>（3）成果对研究过程展示丰富性：</w:t>
            </w:r>
            <w:r>
              <w:rPr>
                <w:rFonts w:ascii="仿宋_GB2312" w:eastAsia="仿宋_GB2312"/>
              </w:rPr>
              <w:t>20</w:t>
            </w:r>
            <w:r>
              <w:rPr>
                <w:rFonts w:hint="eastAsia" w:ascii="仿宋_GB2312" w:eastAsia="仿宋_GB2312"/>
              </w:rPr>
              <w:t>分</w:t>
            </w:r>
          </w:p>
          <w:p w14:paraId="72DCFA15">
            <w:pPr>
              <w:adjustRightInd w:val="0"/>
              <w:snapToGrid w:val="0"/>
              <w:ind w:firstLine="480" w:firstLineChars="200"/>
              <w:jc w:val="both"/>
              <w:rPr>
                <w:rFonts w:ascii="仿宋_GB2312" w:eastAsia="仿宋_GB2312"/>
              </w:rPr>
            </w:pPr>
            <w:r>
              <w:rPr>
                <w:rFonts w:hint="eastAsia" w:ascii="仿宋_GB2312" w:eastAsia="仿宋_GB2312"/>
              </w:rPr>
              <w:t>（4）模型构建及实验数据分析科学性：</w:t>
            </w:r>
            <w:r>
              <w:rPr>
                <w:rFonts w:ascii="仿宋_GB2312" w:eastAsia="仿宋_GB2312"/>
              </w:rPr>
              <w:t>20</w:t>
            </w:r>
            <w:r>
              <w:rPr>
                <w:rFonts w:hint="eastAsia" w:ascii="仿宋_GB2312" w:eastAsia="仿宋_GB2312"/>
              </w:rPr>
              <w:t>分</w:t>
            </w:r>
          </w:p>
          <w:p w14:paraId="1915D011">
            <w:pPr>
              <w:adjustRightInd w:val="0"/>
              <w:snapToGrid w:val="0"/>
              <w:ind w:firstLine="480" w:firstLineChars="200"/>
              <w:jc w:val="both"/>
              <w:rPr>
                <w:rFonts w:ascii="仿宋_GB2312" w:hAnsi="仿宋_GB2312" w:eastAsia="仿宋_GB2312" w:cs="仿宋_GB2312"/>
                <w:bCs/>
                <w:color w:val="000000"/>
                <w:spacing w:val="6"/>
                <w:szCs w:val="28"/>
              </w:rPr>
            </w:pPr>
            <w:r>
              <w:rPr>
                <w:rFonts w:hint="eastAsia" w:ascii="仿宋_GB2312" w:eastAsia="仿宋_GB2312"/>
              </w:rPr>
              <w:t>（5）成果对工程应用的可拓展和实用性：</w:t>
            </w:r>
            <w:r>
              <w:rPr>
                <w:rFonts w:ascii="仿宋_GB2312" w:eastAsia="仿宋_GB2312"/>
              </w:rPr>
              <w:t>20</w:t>
            </w:r>
            <w:r>
              <w:rPr>
                <w:rFonts w:hint="eastAsia" w:ascii="仿宋_GB2312" w:eastAsia="仿宋_GB2312"/>
              </w:rPr>
              <w:t>分</w:t>
            </w:r>
          </w:p>
        </w:tc>
      </w:tr>
      <w:tr w14:paraId="31CE30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BE6B076">
            <w:pPr>
              <w:overflowPunct w:val="0"/>
              <w:adjustRightInd w:val="0"/>
              <w:snapToGrid w:val="0"/>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7231A5A">
            <w:pPr>
              <w:overflowPunct w:val="0"/>
              <w:adjustRightInd w:val="0"/>
              <w:snapToGrid w:val="0"/>
              <w:ind w:firstLine="480"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color w:val="000000"/>
              </w:rPr>
              <w:t>无。</w:t>
            </w:r>
          </w:p>
        </w:tc>
      </w:tr>
    </w:tbl>
    <w:p w14:paraId="7FE11F2B">
      <w:pPr>
        <w:tabs>
          <w:tab w:val="left" w:pos="8640"/>
        </w:tabs>
        <w:adjustRightInd w:val="0"/>
        <w:snapToGrid w:val="0"/>
        <w:spacing w:line="440" w:lineRule="exact"/>
        <w:rPr>
          <w:rFonts w:ascii="方正黑体简体" w:eastAsia="方正黑体简体"/>
          <w:bCs/>
          <w:spacing w:val="6"/>
          <w:sz w:val="32"/>
          <w:szCs w:val="32"/>
        </w:rPr>
      </w:pPr>
      <w:r>
        <w:rPr>
          <w:rFonts w:hint="eastAsia" w:ascii="方正黑体简体" w:eastAsia="方正黑体简体"/>
          <w:bCs/>
          <w:spacing w:val="6"/>
          <w:sz w:val="32"/>
          <w:szCs w:val="32"/>
        </w:rPr>
        <w:t>三、激励保障</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4C4C91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313"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EA897A1">
            <w:pPr>
              <w:adjustRightInd w:val="0"/>
              <w:snapToGrid w:val="0"/>
              <w:spacing w:line="560" w:lineRule="exact"/>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lang w:val="en-US"/>
              </w:rPr>
              <w:t>保障</w:t>
            </w:r>
            <w:r>
              <w:rPr>
                <w:rFonts w:hint="eastAsia" w:ascii="楷体_GB2312" w:hAnsi="楷体_GB2312" w:eastAsia="楷体_GB2312" w:cs="楷体_GB2312"/>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B76C9C7">
            <w:pPr>
              <w:adjustRightInd w:val="0"/>
              <w:snapToGrid w:val="0"/>
              <w:ind w:firstLine="504" w:firstLineChars="200"/>
              <w:jc w:val="both"/>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lang w:val="en-US"/>
              </w:rPr>
              <w:t>参赛者可参观实验室，与单位负责人开展座谈调研，参与课题实习工作，参赛相关专业问题可配备专门指导人员定期解答或咨询专家指导团队。</w:t>
            </w:r>
          </w:p>
        </w:tc>
      </w:tr>
      <w:tr w14:paraId="7210B4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327"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6EE7342">
            <w:pPr>
              <w:adjustRightInd w:val="0"/>
              <w:snapToGrid w:val="0"/>
              <w:spacing w:line="560" w:lineRule="exact"/>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456183C">
            <w:pPr>
              <w:adjustRightInd w:val="0"/>
              <w:snapToGrid w:val="0"/>
              <w:ind w:firstLine="480" w:firstLineChars="200"/>
              <w:jc w:val="both"/>
              <w:rPr>
                <w:rFonts w:hint="eastAsia" w:ascii="仿宋_GB2312" w:eastAsia="仿宋_GB2312"/>
              </w:rPr>
            </w:pPr>
            <w:r>
              <w:rPr>
                <w:rFonts w:hint="eastAsia" w:ascii="仿宋_GB2312" w:eastAsia="仿宋_GB2312"/>
              </w:rPr>
              <w:t>一、奖项设置</w:t>
            </w:r>
          </w:p>
          <w:p w14:paraId="74785410">
            <w:pPr>
              <w:adjustRightInd w:val="0"/>
              <w:snapToGrid w:val="0"/>
              <w:ind w:firstLine="480" w:firstLineChars="200"/>
              <w:jc w:val="both"/>
              <w:rPr>
                <w:rFonts w:hint="eastAsia" w:ascii="仿宋_GB2312" w:eastAsia="仿宋_GB2312"/>
              </w:rPr>
            </w:pPr>
            <w:r>
              <w:rPr>
                <w:rFonts w:hint="eastAsia" w:ascii="仿宋_GB2312" w:eastAsia="仿宋_GB2312"/>
                <w:lang w:eastAsia="zh-CN"/>
              </w:rPr>
              <w:t>原则上设“擂主”团队1个，</w:t>
            </w:r>
            <w:r>
              <w:rPr>
                <w:rFonts w:hint="eastAsia" w:ascii="仿宋_GB2312" w:eastAsia="仿宋_GB2312"/>
              </w:rPr>
              <w:t>根据实际情况评出相应的特等奖、一等奖、二等奖、三等奖项目若干，为获奖者颁发获奖证书和相应奖品。</w:t>
            </w:r>
          </w:p>
          <w:p w14:paraId="467F7D4B">
            <w:pPr>
              <w:adjustRightInd w:val="0"/>
              <w:snapToGrid w:val="0"/>
              <w:ind w:firstLine="480" w:firstLineChars="200"/>
              <w:jc w:val="both"/>
              <w:rPr>
                <w:rFonts w:hint="eastAsia" w:ascii="仿宋_GB2312" w:eastAsia="仿宋_GB2312"/>
              </w:rPr>
            </w:pPr>
            <w:r>
              <w:rPr>
                <w:rFonts w:hint="eastAsia" w:ascii="仿宋_GB2312" w:eastAsia="仿宋_GB2312"/>
              </w:rPr>
              <w:t>二、激励措施</w:t>
            </w:r>
          </w:p>
          <w:p w14:paraId="0FEA9038">
            <w:pPr>
              <w:adjustRightInd w:val="0"/>
              <w:snapToGrid w:val="0"/>
              <w:ind w:firstLine="480" w:firstLineChars="200"/>
              <w:jc w:val="both"/>
              <w:rPr>
                <w:rFonts w:hint="eastAsia" w:ascii="仿宋_GB2312" w:eastAsia="仿宋_GB2312"/>
              </w:rPr>
            </w:pPr>
            <w:r>
              <w:rPr>
                <w:rFonts w:hint="eastAsia" w:ascii="仿宋_GB2312" w:eastAsia="仿宋_GB2312"/>
              </w:rPr>
              <w:t>1. 假期实习实践机会</w:t>
            </w:r>
          </w:p>
          <w:p w14:paraId="71A47721">
            <w:pPr>
              <w:adjustRightInd w:val="0"/>
              <w:snapToGrid w:val="0"/>
              <w:ind w:firstLine="480" w:firstLineChars="200"/>
              <w:jc w:val="both"/>
              <w:rPr>
                <w:rFonts w:hint="eastAsia" w:ascii="仿宋_GB2312" w:eastAsia="仿宋_GB2312"/>
              </w:rPr>
            </w:pPr>
            <w:r>
              <w:rPr>
                <w:rFonts w:hint="eastAsia" w:ascii="仿宋_GB2312" w:eastAsia="仿宋_GB2312"/>
              </w:rPr>
              <w:t>每名获奖选手可以来中国船舶集团有限公司综合技术经济研究院进行实践操作。</w:t>
            </w:r>
          </w:p>
          <w:p w14:paraId="710803E9">
            <w:pPr>
              <w:adjustRightInd w:val="0"/>
              <w:snapToGrid w:val="0"/>
              <w:ind w:firstLine="480" w:firstLineChars="200"/>
              <w:jc w:val="both"/>
              <w:rPr>
                <w:rFonts w:hint="eastAsia" w:ascii="仿宋_GB2312" w:eastAsia="仿宋_GB2312"/>
              </w:rPr>
            </w:pPr>
            <w:r>
              <w:rPr>
                <w:rFonts w:hint="eastAsia" w:ascii="仿宋_GB2312" w:eastAsia="仿宋_GB2312"/>
              </w:rPr>
              <w:t>2. 合作共赢</w:t>
            </w:r>
          </w:p>
          <w:p w14:paraId="3E2E122D">
            <w:pPr>
              <w:adjustRightInd w:val="0"/>
              <w:snapToGrid w:val="0"/>
              <w:ind w:firstLine="480" w:firstLineChars="200"/>
              <w:jc w:val="both"/>
              <w:rPr>
                <w:rFonts w:ascii="仿宋_GB2312" w:hAnsi="仿宋_GB2312" w:eastAsia="仿宋_GB2312" w:cs="仿宋_GB2312"/>
                <w:bCs/>
                <w:color w:val="000000"/>
                <w:spacing w:val="6"/>
                <w:szCs w:val="28"/>
                <w:lang w:val="en-US"/>
              </w:rPr>
            </w:pPr>
            <w:r>
              <w:rPr>
                <w:rFonts w:hint="eastAsia" w:ascii="仿宋_GB2312" w:eastAsia="仿宋_GB2312"/>
              </w:rPr>
              <w:t>若获奖团队的参赛方案可实际应用于产品开发，在无知识产权纠纷的前提下，将提供进一步合作开发机会。</w:t>
            </w:r>
          </w:p>
        </w:tc>
      </w:tr>
    </w:tbl>
    <w:p w14:paraId="7FF8DE38">
      <w:pPr>
        <w:tabs>
          <w:tab w:val="left" w:pos="8640"/>
        </w:tabs>
        <w:adjustRightInd w:val="0"/>
        <w:snapToGrid w:val="0"/>
        <w:spacing w:line="560" w:lineRule="exact"/>
        <w:rPr>
          <w:rFonts w:ascii="方正黑体简体" w:eastAsia="方正黑体简体"/>
          <w:bCs/>
          <w:spacing w:val="6"/>
          <w:sz w:val="32"/>
          <w:szCs w:val="32"/>
          <w:lang w:val="en-US"/>
        </w:rPr>
      </w:pPr>
      <w:r>
        <w:rPr>
          <w:rFonts w:hint="eastAsia" w:ascii="方正黑体简体" w:eastAsia="方正黑体简体"/>
          <w:bCs/>
          <w:spacing w:val="6"/>
          <w:sz w:val="32"/>
          <w:szCs w:val="32"/>
          <w:lang w:val="en-US"/>
        </w:rPr>
        <w:t>四、选题意义</w:t>
      </w:r>
    </w:p>
    <w:tbl>
      <w:tblPr>
        <w:tblStyle w:val="1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466108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73F15EC2">
            <w:pPr>
              <w:overflowPunct w:val="0"/>
              <w:adjustRightInd w:val="0"/>
              <w:snapToGrid w:val="0"/>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6EB044">
            <w:pPr>
              <w:overflowPunct w:val="0"/>
              <w:adjustRightInd w:val="0"/>
              <w:snapToGrid w:val="0"/>
              <w:ind w:firstLine="480" w:firstLineChars="200"/>
              <w:rPr>
                <w:rFonts w:ascii="仿宋_GB2312" w:hAnsi="仿宋_GB2312" w:eastAsia="仿宋_GB2312" w:cs="仿宋_GB2312"/>
                <w:bCs/>
                <w:color w:val="000000"/>
                <w:spacing w:val="6"/>
                <w:szCs w:val="28"/>
              </w:rPr>
            </w:pPr>
            <w:r>
              <w:rPr>
                <w:rFonts w:ascii="仿宋_GB2312" w:eastAsia="仿宋_GB2312"/>
              </w:rPr>
              <w:t>本</w:t>
            </w:r>
            <w:r>
              <w:rPr>
                <w:rFonts w:hint="eastAsia" w:ascii="仿宋_GB2312" w:eastAsia="仿宋_GB2312"/>
              </w:rPr>
              <w:t>选题</w:t>
            </w:r>
            <w:r>
              <w:rPr>
                <w:rFonts w:ascii="仿宋_GB2312" w:eastAsia="仿宋_GB2312"/>
              </w:rPr>
              <w:t>以复杂任务执行需求为背景，</w:t>
            </w:r>
            <w:r>
              <w:rPr>
                <w:rFonts w:hint="eastAsia" w:ascii="仿宋_GB2312" w:eastAsia="仿宋_GB2312"/>
              </w:rPr>
              <w:t>智能系统在复杂系统操作任务中，系统越来越复杂，动态更新快，人员学习难度大，需要建立人与智能系统的双向理解需求。当前眼动交互模式以“刻意注视”眼动为主，但是这种方案面临着有意识指令凝视和无意识浏览凝视难以区分的问题，并且刻意控制眼球运动会带来认知和生理疲劳，且误触发率高，可能存在交互错误的风险。因此迫切需要尊重眼本身的感知功能，建立基于“自然行为”眼动及交互操作的研究，通过地从自然、嘈杂的多模态眼动及操作数据中推断用户的潜在意图。因此本课题通过建立面向新用户、新任务适配的交互式意图的智能推理应用方法</w:t>
            </w:r>
            <w:r>
              <w:rPr>
                <w:rFonts w:ascii="仿宋_GB2312" w:eastAsia="仿宋_GB2312"/>
              </w:rPr>
              <w:t>，从而</w:t>
            </w:r>
            <w:r>
              <w:rPr>
                <w:rFonts w:hint="eastAsia" w:ascii="仿宋_GB2312" w:eastAsia="仿宋_GB2312"/>
              </w:rPr>
              <w:t>为</w:t>
            </w:r>
            <w:r>
              <w:rPr>
                <w:rFonts w:ascii="仿宋_GB2312" w:eastAsia="仿宋_GB2312"/>
              </w:rPr>
              <w:t>辅助作业人员完成系统交互动作，以</w:t>
            </w:r>
            <w:r>
              <w:rPr>
                <w:rFonts w:hint="eastAsia" w:ascii="仿宋_GB2312" w:eastAsia="仿宋_GB2312"/>
              </w:rPr>
              <w:t>复杂智能系统的使用和新用户培训应用领域提供关键技术支撑</w:t>
            </w:r>
            <w:r>
              <w:rPr>
                <w:rFonts w:ascii="仿宋_GB2312" w:eastAsia="仿宋_GB2312"/>
              </w:rPr>
              <w:t>。</w:t>
            </w:r>
          </w:p>
        </w:tc>
      </w:tr>
      <w:tr w14:paraId="4BE003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1CC159">
            <w:pPr>
              <w:overflowPunct w:val="0"/>
              <w:adjustRightInd w:val="0"/>
              <w:snapToGrid w:val="0"/>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A956A8">
            <w:pPr>
              <w:overflowPunct w:val="0"/>
              <w:adjustRightInd w:val="0"/>
              <w:snapToGrid w:val="0"/>
              <w:ind w:firstLine="480" w:firstLineChars="200"/>
              <w:rPr>
                <w:rFonts w:ascii="仿宋_GB2312" w:hAnsi="仿宋_GB2312" w:eastAsia="仿宋_GB2312" w:cs="仿宋_GB2312"/>
                <w:bCs/>
                <w:color w:val="000000"/>
                <w:spacing w:val="6"/>
                <w:szCs w:val="28"/>
              </w:rPr>
            </w:pPr>
            <w:r>
              <w:rPr>
                <w:rFonts w:hint="eastAsia" w:ascii="仿宋_GB2312" w:eastAsia="仿宋_GB2312"/>
              </w:rPr>
              <w:t>预期将取得显著的综合效益。经济效益上，本课题技术能通过在装备系统、智能产品等复杂智能系统领域的应用，可以有助于提升人员培训和任务学习的效率，大幅降低成本，同时催生智能辅助软硬件等新产品。社会效益上，该技术可成为高危作业人员在复杂系统学习和使用方面提升辅助协作，增强安全保障。该成果将为智能制造提供关键的人机协同技术，推动 “智能化”与“人性化”融合的升级，有助于 “人机融合智能”等前沿领域技术，支撑复杂人机系统使用效能与安全的需求。</w:t>
            </w:r>
          </w:p>
        </w:tc>
      </w:tr>
    </w:tbl>
    <w:p w14:paraId="30ABAD0F">
      <w:pPr>
        <w:rPr>
          <w:rFonts w:hint="eastAsia" w:ascii="楷体_GB2312" w:hAnsi="楷体_GB2312" w:eastAsia="楷体_GB2312" w:cs="楷体_GB2312"/>
        </w:rPr>
      </w:pPr>
      <w:r>
        <w:rPr>
          <w:rFonts w:hint="eastAsia" w:ascii="楷体_GB2312" w:hAnsi="楷体_GB2312" w:eastAsia="楷体_GB2312" w:cs="楷体_GB2312"/>
        </w:rPr>
        <w:br w:type="page"/>
      </w:r>
    </w:p>
    <w:p w14:paraId="2ACE5955">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“青智未来”新质生产力</w:t>
      </w:r>
      <w:r>
        <w:rPr>
          <w:rFonts w:hint="default" w:ascii="Times New Roman" w:hAnsi="Times New Roman" w:eastAsia="方正小标宋简体" w:cs="Times New Roman"/>
          <w:b w:val="0"/>
          <w:bCs/>
          <w:kern w:val="2"/>
          <w:sz w:val="44"/>
          <w:szCs w:val="32"/>
          <w:highlight w:val="none"/>
          <w:lang w:val="en-US" w:eastAsia="zh-CN"/>
        </w:rPr>
        <w:t>专项赛</w:t>
      </w:r>
    </w:p>
    <w:p w14:paraId="5DAF6DE2">
      <w:pPr>
        <w:keepNext w:val="0"/>
        <w:keepLines w:val="0"/>
        <w:pageBreakBefore w:val="0"/>
        <w:widowControl w:val="0"/>
        <w:tabs>
          <w:tab w:val="left" w:pos="8640"/>
        </w:tabs>
        <w:kinsoku/>
        <w:wordWrap w:val="0"/>
        <w:topLinePunct w:val="0"/>
        <w:autoSpaceDE/>
        <w:autoSpaceDN/>
        <w:bidi w:val="0"/>
        <w:adjustRightInd w:val="0"/>
        <w:snapToGrid w:val="0"/>
        <w:spacing w:line="560" w:lineRule="exact"/>
        <w:jc w:val="center"/>
        <w:rPr>
          <w:rFonts w:hint="default" w:ascii="Times New Roman" w:hAnsi="Times New Roman" w:eastAsia="方正小标宋简体" w:cs="Times New Roman"/>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—1</w:t>
      </w:r>
      <w:r>
        <w:rPr>
          <w:rFonts w:hint="eastAsia" w:eastAsia="方正小标宋简体" w:cs="方正小标宋简体"/>
          <w:b w:val="0"/>
          <w:bCs/>
          <w:kern w:val="2"/>
          <w:sz w:val="44"/>
          <w:szCs w:val="32"/>
          <w:highlight w:val="none"/>
          <w:lang w:val="en-US" w:eastAsia="zh-CN"/>
        </w:rPr>
        <w:t>1</w:t>
      </w:r>
    </w:p>
    <w:p w14:paraId="19F93A49">
      <w:pPr>
        <w:keepNext w:val="0"/>
        <w:keepLines w:val="0"/>
        <w:pageBreakBefore w:val="0"/>
        <w:widowControl w:val="0"/>
        <w:tabs>
          <w:tab w:val="left" w:pos="8640"/>
        </w:tabs>
        <w:kinsoku/>
        <w:wordWrap w:val="0"/>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b w:val="0"/>
          <w:bCs/>
          <w:kern w:val="2"/>
          <w:sz w:val="32"/>
          <w:szCs w:val="22"/>
          <w:highlight w:val="none"/>
          <w:lang w:val="en-US" w:eastAsia="zh-CN"/>
        </w:rPr>
      </w:pPr>
    </w:p>
    <w:p w14:paraId="11C36463">
      <w:pPr>
        <w:tabs>
          <w:tab w:val="left" w:pos="8640"/>
        </w:tabs>
        <w:adjustRightInd w:val="0"/>
        <w:snapToGrid w:val="0"/>
        <w:spacing w:line="560" w:lineRule="exact"/>
        <w:rPr>
          <w:rFonts w:hint="eastAsia" w:ascii="方正楷体简体" w:hAnsi="方正楷体简体" w:eastAsia="方正楷体简体" w:cs="方正楷体简体"/>
          <w:bCs/>
          <w:spacing w:val="6"/>
        </w:rPr>
      </w:pPr>
      <w:r>
        <w:rPr>
          <w:rFonts w:hint="eastAsia" w:ascii="方正黑体简体" w:eastAsia="方正黑体简体"/>
          <w:bCs/>
          <w:spacing w:val="6"/>
          <w:sz w:val="32"/>
          <w:szCs w:val="32"/>
        </w:rPr>
        <w:t>一、单位信息</w:t>
      </w:r>
    </w:p>
    <w:tbl>
      <w:tblPr>
        <w:tblStyle w:val="11"/>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37819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6FAB68DB">
            <w:pPr>
              <w:adjustRightInd w:val="0"/>
              <w:spacing w:line="560" w:lineRule="exact"/>
              <w:jc w:val="center"/>
              <w:rPr>
                <w:rFonts w:hint="eastAsia" w:ascii="楷体_GB2312" w:hAnsi="楷体_GB2312" w:eastAsia="楷体_GB2312" w:cs="楷体_GB2312"/>
                <w:sz w:val="28"/>
                <w:szCs w:val="32"/>
              </w:rPr>
            </w:pPr>
            <w:r>
              <w:rPr>
                <w:rFonts w:hint="eastAsia" w:ascii="楷体_GB2312" w:hAnsi="楷体_GB2312" w:eastAsia="楷体_GB2312" w:cs="楷体_GB2312"/>
                <w:sz w:val="28"/>
                <w:szCs w:val="32"/>
              </w:rPr>
              <w:t>单位名称</w:t>
            </w:r>
          </w:p>
        </w:tc>
        <w:tc>
          <w:tcPr>
            <w:tcW w:w="6932" w:type="dxa"/>
            <w:gridSpan w:val="3"/>
            <w:vAlign w:val="center"/>
          </w:tcPr>
          <w:p w14:paraId="24AE15B6">
            <w:pPr>
              <w:adjustRightInd w:val="0"/>
              <w:snapToGrid w:val="0"/>
              <w:jc w:val="center"/>
              <w:rPr>
                <w:rFonts w:hint="eastAsia" w:ascii="仿宋_GB2312" w:hAnsi="仿宋_GB2312" w:eastAsia="仿宋_GB2312" w:cs="仿宋_GB2312"/>
              </w:rPr>
            </w:pPr>
            <w:r>
              <w:rPr>
                <w:rFonts w:hint="eastAsia" w:ascii="仿宋_GB2312" w:hAnsi="仿宋_GB2312" w:eastAsia="仿宋_GB2312" w:cs="仿宋_GB2312"/>
                <w:bCs/>
                <w:spacing w:val="6"/>
                <w:szCs w:val="28"/>
                <w:lang w:val="en-US"/>
              </w:rPr>
              <w:t>中粮营养健康研究院有限公司</w:t>
            </w:r>
          </w:p>
        </w:tc>
      </w:tr>
      <w:tr w14:paraId="655BD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7CAC3036">
            <w:pPr>
              <w:adjustRightInd w:val="0"/>
              <w:snapToGrid w:val="0"/>
              <w:jc w:val="center"/>
              <w:rPr>
                <w:rFonts w:hint="eastAsia" w:ascii="楷体_GB2312" w:hAnsi="楷体_GB2312" w:eastAsia="楷体_GB2312" w:cs="楷体_GB2312"/>
                <w:bCs/>
                <w:spacing w:val="6"/>
                <w:szCs w:val="28"/>
                <w:lang w:val="en-US"/>
              </w:rPr>
            </w:pPr>
            <w:r>
              <w:rPr>
                <w:rFonts w:hint="eastAsia" w:ascii="楷体_GB2312" w:hAnsi="楷体_GB2312" w:eastAsia="楷体_GB2312" w:cs="楷体_GB2312"/>
                <w:sz w:val="28"/>
                <w:szCs w:val="32"/>
                <w:lang w:val="en-US"/>
              </w:rPr>
              <w:t>单位类型</w:t>
            </w:r>
          </w:p>
        </w:tc>
        <w:tc>
          <w:tcPr>
            <w:tcW w:w="6932" w:type="dxa"/>
            <w:gridSpan w:val="3"/>
            <w:vAlign w:val="center"/>
          </w:tcPr>
          <w:p w14:paraId="5AE767B0">
            <w:pPr>
              <w:adjustRightInd w:val="0"/>
              <w:snapToGrid w:val="0"/>
              <w:jc w:val="center"/>
              <w:rPr>
                <w:rFonts w:hint="eastAsia" w:ascii="仿宋_GB2312" w:hAnsi="仿宋_GB2312" w:eastAsia="仿宋_GB2312" w:cs="仿宋_GB2312"/>
                <w:bCs/>
                <w:spacing w:val="6"/>
                <w:szCs w:val="28"/>
                <w:lang w:val="en-US"/>
              </w:rPr>
            </w:pPr>
            <w:r>
              <w:rPr>
                <w:rFonts w:hint="eastAsia" w:ascii="仿宋_GB2312" w:hAnsi="仿宋_GB2312" w:eastAsia="仿宋_GB2312" w:cs="仿宋_GB2312"/>
                <w:bCs/>
                <w:spacing w:val="6"/>
                <w:szCs w:val="28"/>
                <w:lang w:val="en-US"/>
              </w:rPr>
              <w:t>中央企业</w:t>
            </w:r>
            <w:r>
              <w:rPr>
                <w:rFonts w:ascii="仿宋_GB2312" w:hAnsi="仿宋_GB2312" w:eastAsia="仿宋_GB2312" w:cs="仿宋_GB2312"/>
                <w:bCs/>
                <w:spacing w:val="6"/>
                <w:szCs w:val="28"/>
              </w:rPr>
              <w:t>（中央企业下属研究院）</w:t>
            </w:r>
          </w:p>
        </w:tc>
      </w:tr>
      <w:tr w14:paraId="69355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01533D8D">
            <w:pPr>
              <w:adjustRightInd w:val="0"/>
              <w:spacing w:line="560" w:lineRule="exact"/>
              <w:jc w:val="center"/>
              <w:rPr>
                <w:rFonts w:hint="eastAsia" w:ascii="楷体_GB2312" w:hAnsi="楷体_GB2312" w:eastAsia="楷体_GB2312" w:cs="楷体_GB2312"/>
                <w:sz w:val="28"/>
                <w:szCs w:val="32"/>
              </w:rPr>
            </w:pPr>
            <w:r>
              <w:rPr>
                <w:rFonts w:hint="eastAsia" w:ascii="楷体_GB2312" w:hAnsi="楷体_GB2312" w:eastAsia="楷体_GB2312" w:cs="楷体_GB2312"/>
                <w:sz w:val="28"/>
                <w:szCs w:val="32"/>
              </w:rPr>
              <w:t>地址</w:t>
            </w:r>
          </w:p>
        </w:tc>
        <w:tc>
          <w:tcPr>
            <w:tcW w:w="6932" w:type="dxa"/>
            <w:gridSpan w:val="3"/>
            <w:vAlign w:val="center"/>
          </w:tcPr>
          <w:p w14:paraId="08F6DAA2">
            <w:pPr>
              <w:adjustRightInd w:val="0"/>
              <w:jc w:val="center"/>
              <w:rPr>
                <w:rFonts w:hint="eastAsia" w:ascii="仿宋_GB2312" w:hAnsi="仿宋_GB2312" w:eastAsia="仿宋_GB2312" w:cs="仿宋_GB2312"/>
              </w:rPr>
            </w:pPr>
            <w:r>
              <w:rPr>
                <w:rFonts w:ascii="仿宋_GB2312" w:hAnsi="仿宋_GB2312" w:eastAsia="仿宋_GB2312" w:cs="仿宋_GB2312"/>
              </w:rPr>
              <w:t>北京市昌平区北七家镇中粮营养健康研究院</w:t>
            </w:r>
          </w:p>
        </w:tc>
      </w:tr>
      <w:tr w14:paraId="7809B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46DDCB06">
            <w:pPr>
              <w:adjustRightInd w:val="0"/>
              <w:spacing w:line="560" w:lineRule="exact"/>
              <w:jc w:val="center"/>
              <w:rPr>
                <w:rFonts w:hint="eastAsia" w:ascii="楷体_GB2312" w:hAnsi="楷体_GB2312" w:eastAsia="楷体_GB2312" w:cs="楷体_GB2312"/>
                <w:sz w:val="28"/>
                <w:szCs w:val="32"/>
              </w:rPr>
            </w:pPr>
            <w:r>
              <w:rPr>
                <w:rFonts w:hint="eastAsia" w:ascii="楷体_GB2312" w:hAnsi="楷体_GB2312" w:eastAsia="楷体_GB2312" w:cs="楷体_GB2312"/>
                <w:sz w:val="28"/>
                <w:szCs w:val="32"/>
                <w:lang w:val="en-US"/>
              </w:rPr>
              <w:t>单位</w:t>
            </w:r>
            <w:r>
              <w:rPr>
                <w:rFonts w:hint="eastAsia" w:ascii="楷体_GB2312" w:hAnsi="楷体_GB2312" w:eastAsia="楷体_GB2312" w:cs="楷体_GB2312"/>
                <w:sz w:val="28"/>
                <w:szCs w:val="32"/>
              </w:rPr>
              <w:t>简介</w:t>
            </w:r>
          </w:p>
        </w:tc>
        <w:tc>
          <w:tcPr>
            <w:tcW w:w="6932" w:type="dxa"/>
            <w:gridSpan w:val="3"/>
            <w:vAlign w:val="center"/>
          </w:tcPr>
          <w:p w14:paraId="18BDBD34">
            <w:pPr>
              <w:adjustRightInd w:val="0"/>
              <w:snapToGrid w:val="0"/>
              <w:jc w:val="left"/>
              <w:rPr>
                <w:rFonts w:hint="eastAsia" w:ascii="仿宋_GB2312" w:hAnsi="仿宋_GB2312" w:eastAsia="仿宋_GB2312" w:cs="仿宋_GB2312"/>
                <w:bCs/>
                <w:spacing w:val="6"/>
                <w:szCs w:val="28"/>
                <w:highlight w:val="yellow"/>
              </w:rPr>
            </w:pPr>
            <w:r>
              <w:rPr>
                <w:rFonts w:hint="eastAsia" w:ascii="仿宋_GB2312" w:hAnsi="仿宋_GB2312" w:eastAsia="仿宋_GB2312" w:cs="仿宋_GB2312"/>
                <w:bCs/>
                <w:spacing w:val="6"/>
                <w:szCs w:val="28"/>
                <w:lang w:val="en-US"/>
              </w:rPr>
              <w:t>中粮营养健康研究院是中粮集团的核心研发机构，致力于食品营养、健康产品开发与产业化研究。研究院拥有国家级科研平台，聚焦粮油加工、功能性食品、精准营养等领域，推动“健康中国”战略落地。中粮营养健康研究院先后荣获国家专利金奖1项，国家科学技术进步奖2项，省部级奖项200余项。“十四五”期间，牵头或参与国家重点研发计划项目8项，目前拥有国家级平台13个、省部级平台15个，发挥国家粮油食品科技战略执行主体作用。</w:t>
            </w:r>
          </w:p>
        </w:tc>
      </w:tr>
      <w:tr w14:paraId="13EF7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37B974CF">
            <w:pPr>
              <w:adjustRightInd w:val="0"/>
              <w:snapToGrid w:val="0"/>
              <w:jc w:val="center"/>
              <w:rPr>
                <w:rFonts w:hint="eastAsia" w:ascii="楷体_GB2312" w:hAnsi="楷体_GB2312" w:eastAsia="楷体_GB2312" w:cs="楷体_GB2312"/>
                <w:bCs/>
                <w:spacing w:val="6"/>
                <w:szCs w:val="28"/>
                <w:highlight w:val="none"/>
              </w:rPr>
            </w:pPr>
            <w:r>
              <w:rPr>
                <w:rFonts w:hint="eastAsia" w:ascii="楷体_GB2312" w:hAnsi="楷体_GB2312" w:eastAsia="楷体_GB2312" w:cs="楷体_GB2312"/>
                <w:sz w:val="28"/>
                <w:szCs w:val="32"/>
                <w:highlight w:val="none"/>
                <w:lang w:val="en-US"/>
              </w:rPr>
              <w:t>联系人</w:t>
            </w:r>
          </w:p>
        </w:tc>
        <w:tc>
          <w:tcPr>
            <w:tcW w:w="3076" w:type="dxa"/>
            <w:vAlign w:val="center"/>
          </w:tcPr>
          <w:p w14:paraId="0516810F">
            <w:pPr>
              <w:adjustRightInd w:val="0"/>
              <w:jc w:val="center"/>
              <w:rPr>
                <w:rFonts w:hint="eastAsia" w:ascii="仿宋_GB2312" w:hAnsi="仿宋_GB2312" w:eastAsia="仿宋_GB2312" w:cs="仿宋_GB2312"/>
                <w:bCs/>
                <w:spacing w:val="6"/>
                <w:szCs w:val="28"/>
                <w:lang w:val="en-US" w:eastAsia="zh-CN"/>
              </w:rPr>
            </w:pPr>
            <w:r>
              <w:rPr>
                <w:rFonts w:hint="eastAsia" w:ascii="仿宋_GB2312" w:hAnsi="仿宋_GB2312" w:eastAsia="仿宋_GB2312" w:cs="仿宋_GB2312"/>
                <w:bCs/>
                <w:spacing w:val="6"/>
                <w:szCs w:val="28"/>
                <w:lang w:val="en-US" w:eastAsia="zh-CN"/>
              </w:rPr>
              <w:t>郇美丽</w:t>
            </w:r>
          </w:p>
        </w:tc>
        <w:tc>
          <w:tcPr>
            <w:tcW w:w="1073" w:type="dxa"/>
            <w:vAlign w:val="center"/>
          </w:tcPr>
          <w:p w14:paraId="59E7AA06">
            <w:pPr>
              <w:adjustRightInd w:val="0"/>
              <w:spacing w:line="560" w:lineRule="exact"/>
              <w:jc w:val="center"/>
              <w:rPr>
                <w:rFonts w:hint="eastAsia" w:ascii="楷体_GB2312" w:hAnsi="楷体_GB2312" w:eastAsia="楷体_GB2312" w:cs="楷体_GB2312"/>
                <w:sz w:val="28"/>
                <w:szCs w:val="32"/>
                <w:highlight w:val="none"/>
              </w:rPr>
            </w:pPr>
            <w:r>
              <w:rPr>
                <w:rFonts w:hint="eastAsia" w:ascii="楷体_GB2312" w:hAnsi="楷体_GB2312" w:eastAsia="楷体_GB2312" w:cs="楷体_GB2312"/>
                <w:sz w:val="28"/>
                <w:szCs w:val="32"/>
                <w:highlight w:val="none"/>
              </w:rPr>
              <w:t>职务</w:t>
            </w:r>
          </w:p>
        </w:tc>
        <w:tc>
          <w:tcPr>
            <w:tcW w:w="2783" w:type="dxa"/>
            <w:vAlign w:val="center"/>
          </w:tcPr>
          <w:p w14:paraId="7EBD9323">
            <w:pPr>
              <w:adjustRightInd w:val="0"/>
              <w:jc w:val="center"/>
              <w:rPr>
                <w:rFonts w:hint="default" w:eastAsia="方正仿宋简体"/>
                <w:highlight w:val="yellow"/>
                <w:lang w:val="en-US" w:eastAsia="zh-CN"/>
              </w:rPr>
            </w:pPr>
            <w:r>
              <w:rPr>
                <w:rFonts w:hint="eastAsia" w:ascii="仿宋_GB2312" w:hAnsi="仿宋_GB2312" w:eastAsia="仿宋_GB2312" w:cs="仿宋_GB2312"/>
                <w:bCs/>
                <w:spacing w:val="6"/>
                <w:szCs w:val="28"/>
                <w:lang w:val="en-US" w:eastAsia="zh-CN"/>
              </w:rPr>
              <w:t>产品开发资深经理</w:t>
            </w:r>
          </w:p>
        </w:tc>
      </w:tr>
      <w:tr w14:paraId="0257F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3AEC8D91">
            <w:pPr>
              <w:adjustRightInd w:val="0"/>
              <w:snapToGrid w:val="0"/>
              <w:jc w:val="center"/>
              <w:rPr>
                <w:rFonts w:hint="eastAsia" w:ascii="楷体_GB2312" w:hAnsi="楷体_GB2312" w:eastAsia="楷体_GB2312" w:cs="楷体_GB2312"/>
                <w:bCs/>
                <w:spacing w:val="6"/>
                <w:szCs w:val="28"/>
                <w:highlight w:val="none"/>
                <w:lang w:val="en-US"/>
              </w:rPr>
            </w:pPr>
            <w:r>
              <w:rPr>
                <w:rFonts w:hint="eastAsia" w:ascii="楷体_GB2312" w:hAnsi="楷体_GB2312" w:eastAsia="楷体_GB2312" w:cs="楷体_GB2312"/>
                <w:sz w:val="28"/>
                <w:szCs w:val="32"/>
                <w:highlight w:val="none"/>
                <w:lang w:val="en-US"/>
              </w:rPr>
              <w:t>联系方式</w:t>
            </w:r>
          </w:p>
        </w:tc>
        <w:tc>
          <w:tcPr>
            <w:tcW w:w="3076" w:type="dxa"/>
            <w:vAlign w:val="center"/>
          </w:tcPr>
          <w:p w14:paraId="16F58F89">
            <w:pPr>
              <w:adjustRightInd w:val="0"/>
              <w:jc w:val="center"/>
              <w:rPr>
                <w:rFonts w:hint="default" w:ascii="仿宋_GB2312" w:hAnsi="仿宋_GB2312" w:eastAsia="仿宋_GB2312" w:cs="仿宋_GB2312"/>
                <w:bCs/>
                <w:spacing w:val="6"/>
                <w:szCs w:val="28"/>
                <w:lang w:val="en-US" w:eastAsia="zh-CN"/>
              </w:rPr>
            </w:pPr>
            <w:r>
              <w:rPr>
                <w:rFonts w:hint="eastAsia" w:ascii="仿宋_GB2312" w:hAnsi="仿宋_GB2312" w:eastAsia="仿宋_GB2312" w:cs="仿宋_GB2312"/>
                <w:bCs/>
                <w:spacing w:val="6"/>
                <w:szCs w:val="28"/>
                <w:lang w:val="en-US" w:eastAsia="zh-CN"/>
              </w:rPr>
              <w:t>13810901425</w:t>
            </w:r>
          </w:p>
        </w:tc>
        <w:tc>
          <w:tcPr>
            <w:tcW w:w="1073" w:type="dxa"/>
            <w:vAlign w:val="center"/>
          </w:tcPr>
          <w:p w14:paraId="1555F918">
            <w:pPr>
              <w:adjustRightInd w:val="0"/>
              <w:spacing w:line="560" w:lineRule="exact"/>
              <w:jc w:val="center"/>
              <w:rPr>
                <w:rFonts w:hint="eastAsia" w:ascii="楷体_GB2312" w:hAnsi="楷体_GB2312" w:eastAsia="楷体_GB2312" w:cs="楷体_GB2312"/>
                <w:sz w:val="28"/>
                <w:szCs w:val="32"/>
                <w:highlight w:val="none"/>
              </w:rPr>
            </w:pPr>
            <w:r>
              <w:rPr>
                <w:rFonts w:hint="eastAsia" w:ascii="楷体_GB2312" w:hAnsi="楷体_GB2312" w:eastAsia="楷体_GB2312" w:cs="楷体_GB2312"/>
                <w:sz w:val="28"/>
                <w:szCs w:val="32"/>
                <w:highlight w:val="none"/>
              </w:rPr>
              <w:t>微信</w:t>
            </w:r>
          </w:p>
        </w:tc>
        <w:tc>
          <w:tcPr>
            <w:tcW w:w="2783" w:type="dxa"/>
            <w:vAlign w:val="center"/>
          </w:tcPr>
          <w:p w14:paraId="2BBF9109">
            <w:pPr>
              <w:adjustRightInd w:val="0"/>
              <w:jc w:val="center"/>
              <w:rPr>
                <w:rFonts w:hint="default" w:eastAsia="方正仿宋简体"/>
                <w:highlight w:val="yellow"/>
                <w:lang w:val="en-US" w:eastAsia="zh-CN"/>
              </w:rPr>
            </w:pPr>
            <w:r>
              <w:rPr>
                <w:rFonts w:hint="eastAsia" w:ascii="仿宋_GB2312" w:hAnsi="仿宋_GB2312" w:eastAsia="仿宋_GB2312" w:cs="仿宋_GB2312"/>
                <w:bCs/>
                <w:spacing w:val="6"/>
                <w:szCs w:val="28"/>
                <w:lang w:val="en-US" w:eastAsia="zh-CN"/>
              </w:rPr>
              <w:t>13810901425</w:t>
            </w:r>
          </w:p>
        </w:tc>
      </w:tr>
    </w:tbl>
    <w:p w14:paraId="609561D8">
      <w:pPr>
        <w:tabs>
          <w:tab w:val="left" w:pos="8640"/>
        </w:tabs>
        <w:adjustRightInd w:val="0"/>
        <w:snapToGrid w:val="0"/>
        <w:spacing w:line="560" w:lineRule="exact"/>
        <w:rPr>
          <w:rFonts w:ascii="方正黑体简体" w:eastAsia="方正黑体简体"/>
          <w:bCs/>
          <w:spacing w:val="6"/>
          <w:sz w:val="32"/>
          <w:szCs w:val="32"/>
        </w:rPr>
      </w:pPr>
      <w:r>
        <w:rPr>
          <w:rFonts w:hint="eastAsia" w:ascii="方正黑体简体" w:eastAsia="方正黑体简体"/>
          <w:bCs/>
          <w:spacing w:val="6"/>
          <w:sz w:val="32"/>
          <w:szCs w:val="32"/>
        </w:rPr>
        <w:t>二、选题说明</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7C5E4D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51647BD">
            <w:pPr>
              <w:adjustRightInd w:val="0"/>
              <w:snapToGrid w:val="0"/>
              <w:spacing w:line="560" w:lineRule="exact"/>
              <w:ind w:firstLine="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lang w:val="en-US"/>
              </w:rPr>
              <w:t>选题</w:t>
            </w:r>
            <w:r>
              <w:rPr>
                <w:rFonts w:hint="eastAsia" w:ascii="楷体_GB2312" w:hAnsi="楷体_GB2312" w:eastAsia="楷体_GB2312" w:cs="楷体_GB2312"/>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CF3723C">
            <w:pPr>
              <w:adjustRightInd w:val="0"/>
              <w:snapToGrid w:val="0"/>
              <w:jc w:val="center"/>
              <w:rPr>
                <w:rFonts w:hint="eastAsia" w:ascii="仿宋_GB2312" w:hAnsi="仿宋_GB2312" w:eastAsia="仿宋_GB2312" w:cs="仿宋_GB2312"/>
                <w:color w:val="000000"/>
              </w:rPr>
            </w:pPr>
            <w:r>
              <w:rPr>
                <w:rFonts w:ascii="仿宋_GB2312" w:hAnsi="仿宋_GB2312" w:eastAsia="仿宋_GB2312" w:cs="仿宋_GB2312"/>
                <w:b/>
                <w:bCs/>
                <w:color w:val="000000"/>
                <w:spacing w:val="6"/>
                <w:szCs w:val="28"/>
              </w:rPr>
              <w:t>主食产品</w:t>
            </w:r>
            <w:r>
              <w:rPr>
                <w:rFonts w:hint="eastAsia" w:ascii="仿宋_GB2312" w:hAnsi="仿宋_GB2312" w:eastAsia="仿宋_GB2312" w:cs="仿宋_GB2312"/>
                <w:b/>
                <w:bCs/>
                <w:color w:val="000000"/>
                <w:spacing w:val="6"/>
                <w:szCs w:val="28"/>
                <w:lang w:val="en-US" w:eastAsia="zh-CN"/>
              </w:rPr>
              <w:t>血糖调控健康解决方案：全谷物与植物蛋白协同技术及产品开发</w:t>
            </w:r>
          </w:p>
        </w:tc>
      </w:tr>
      <w:tr w14:paraId="3D2C06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BE6F7C3">
            <w:pPr>
              <w:adjustRightInd w:val="0"/>
              <w:snapToGrid w:val="0"/>
              <w:spacing w:line="560" w:lineRule="exact"/>
              <w:ind w:firstLine="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A801FEF">
            <w:pPr>
              <w:adjustRightInd w:val="0"/>
              <w:snapToGrid w:val="0"/>
              <w:ind w:firstLine="504" w:firstLineChars="200"/>
              <w:jc w:val="both"/>
              <w:rPr>
                <w:rFonts w:hint="eastAsia" w:ascii="仿宋_GB2312" w:hAnsi="仿宋_GB2312" w:eastAsia="仿宋_GB2312" w:cs="仿宋_GB2312"/>
                <w:color w:val="000000"/>
              </w:rPr>
            </w:pPr>
            <w:r>
              <w:rPr>
                <w:rFonts w:ascii="仿宋_GB2312" w:hAnsi="仿宋_GB2312" w:eastAsia="仿宋_GB2312" w:cs="仿宋_GB2312"/>
                <w:bCs/>
                <w:color w:val="000000"/>
                <w:spacing w:val="6"/>
                <w:szCs w:val="28"/>
              </w:rPr>
              <w:t>营养健康、食品科学、生物医药</w:t>
            </w:r>
            <w:r>
              <w:rPr>
                <w:rFonts w:hint="eastAsia" w:ascii="仿宋_GB2312" w:hAnsi="仿宋_GB2312" w:eastAsia="仿宋_GB2312" w:cs="仿宋_GB2312"/>
                <w:bCs/>
                <w:color w:val="000000"/>
                <w:spacing w:val="6"/>
                <w:szCs w:val="28"/>
                <w:lang w:val="en-US"/>
              </w:rPr>
              <w:t>。</w:t>
            </w:r>
          </w:p>
        </w:tc>
      </w:tr>
      <w:tr w14:paraId="2E548F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0FC259B">
            <w:pPr>
              <w:adjustRightInd w:val="0"/>
              <w:snapToGrid w:val="0"/>
              <w:spacing w:line="560" w:lineRule="exact"/>
              <w:ind w:firstLine="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C81F52A">
            <w:pPr>
              <w:adjustRightInd w:val="0"/>
              <w:snapToGrid w:val="0"/>
              <w:ind w:firstLine="504" w:firstLineChars="200"/>
              <w:jc w:val="both"/>
              <w:rPr>
                <w:rFonts w:hint="eastAsia" w:ascii="仿宋_GB2312" w:hAnsi="仿宋_GB2312" w:eastAsia="仿宋_GB2312" w:cs="仿宋_GB2312"/>
                <w:bCs/>
                <w:color w:val="FF0000"/>
                <w:spacing w:val="6"/>
                <w:szCs w:val="28"/>
                <w:lang w:val="en-US"/>
              </w:rPr>
            </w:pPr>
            <w:r>
              <w:rPr>
                <w:rFonts w:hint="eastAsia" w:ascii="仿宋_GB2312" w:hAnsi="仿宋_GB2312" w:eastAsia="仿宋_GB2312" w:cs="仿宋_GB2312"/>
                <w:bCs/>
                <w:color w:val="000000"/>
                <w:spacing w:val="6"/>
                <w:szCs w:val="28"/>
                <w:lang w:val="en-US" w:eastAsia="zh-CN"/>
              </w:rPr>
              <w:t>我国糖尿病患者人数逐年上升，根据中国疾病预防控制中心慢病中心的研究报告我国糖尿病人数已达2.33亿</w:t>
            </w:r>
            <w:r>
              <w:rPr>
                <w:rFonts w:ascii="仿宋_GB2312" w:hAnsi="仿宋_GB2312" w:eastAsia="仿宋_GB2312" w:cs="仿宋_GB2312"/>
                <w:bCs/>
                <w:color w:val="000000"/>
                <w:spacing w:val="6"/>
                <w:szCs w:val="28"/>
              </w:rPr>
              <w:t>，践行合理膳食和积极运动是预防和控制糖尿病发生、发展的有效手段。控糖主食存在“高GI、营养失衡、口感差”三大痛点。本项目要求利用大豆蛋白、小麦蛋白等植物蛋白原料，结合</w:t>
            </w:r>
            <w:r>
              <w:rPr>
                <w:rFonts w:hint="eastAsia" w:ascii="仿宋_GB2312" w:hAnsi="仿宋_GB2312" w:eastAsia="仿宋_GB2312" w:cs="仿宋_GB2312"/>
                <w:bCs/>
                <w:color w:val="000000"/>
                <w:spacing w:val="6"/>
                <w:szCs w:val="28"/>
              </w:rPr>
              <w:t>蛋白改性</w:t>
            </w:r>
            <w:r>
              <w:rPr>
                <w:rFonts w:ascii="仿宋_GB2312" w:hAnsi="仿宋_GB2312" w:eastAsia="仿宋_GB2312" w:cs="仿宋_GB2312"/>
                <w:bCs/>
                <w:color w:val="000000"/>
                <w:spacing w:val="6"/>
                <w:szCs w:val="28"/>
              </w:rPr>
              <w:t>加工技术，开发低血糖生成指数（GI≤55）的面包、面条、蛋糕等主食产品。需突破无面粉体系下的成型、发酵与质构优化技术，实现中试以上规模生产。产品需具备明确的控糖功能验证（细胞、动物实验），并设计适用于高血糖人群的精准营养方案，推动首都慢病防控从治疗向预防转型。</w:t>
            </w:r>
          </w:p>
        </w:tc>
      </w:tr>
      <w:tr w14:paraId="089BCC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3FFF9DC">
            <w:pPr>
              <w:adjustRightInd w:val="0"/>
              <w:snapToGrid w:val="0"/>
              <w:spacing w:line="560" w:lineRule="exact"/>
              <w:ind w:firstLine="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0187455">
            <w:pPr>
              <w:adjustRightInd w:val="0"/>
              <w:snapToGrid w:val="0"/>
              <w:ind w:firstLine="504" w:firstLineChars="200"/>
              <w:jc w:val="both"/>
              <w:rPr>
                <w:rFonts w:hint="eastAsia" w:ascii="仿宋_GB2312" w:hAnsi="仿宋_GB2312" w:eastAsia="仿宋_GB2312" w:cs="仿宋_GB2312"/>
                <w:color w:val="FF0000"/>
              </w:rPr>
            </w:pPr>
            <w:r>
              <w:rPr>
                <w:rFonts w:ascii="仿宋_GB2312" w:hAnsi="仿宋_GB2312" w:eastAsia="仿宋_GB2312" w:cs="仿宋_GB2312"/>
                <w:bCs/>
                <w:color w:val="000000"/>
                <w:spacing w:val="6"/>
                <w:szCs w:val="28"/>
              </w:rPr>
              <w:t>提交完整的商业计划书，包含：技术路线图、中试工艺方案、产品原型、细胞/动物功能实验数据、GI</w:t>
            </w:r>
            <w:r>
              <w:rPr>
                <w:rFonts w:hint="eastAsia" w:ascii="仿宋_GB2312" w:hAnsi="仿宋_GB2312" w:eastAsia="仿宋_GB2312" w:cs="仿宋_GB2312"/>
                <w:bCs/>
                <w:color w:val="000000"/>
                <w:spacing w:val="6"/>
                <w:szCs w:val="28"/>
              </w:rPr>
              <w:t>分析</w:t>
            </w:r>
            <w:r>
              <w:rPr>
                <w:rFonts w:ascii="仿宋_GB2312" w:hAnsi="仿宋_GB2312" w:eastAsia="仿宋_GB2312" w:cs="仿宋_GB2312"/>
                <w:bCs/>
                <w:color w:val="000000"/>
                <w:spacing w:val="6"/>
                <w:szCs w:val="28"/>
              </w:rPr>
              <w:t>报告、市场分析与商业模式、团队组成与分工。方案需具备可落地性和创新性。</w:t>
            </w:r>
          </w:p>
        </w:tc>
      </w:tr>
      <w:tr w14:paraId="591181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AE11E5">
            <w:pPr>
              <w:overflowPunct w:val="0"/>
              <w:adjustRightInd w:val="0"/>
              <w:snapToGrid w:val="0"/>
              <w:ind w:firstLine="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作品评审</w:t>
            </w:r>
          </w:p>
          <w:p w14:paraId="345C462C">
            <w:pPr>
              <w:overflowPunct w:val="0"/>
              <w:adjustRightInd w:val="0"/>
              <w:snapToGrid w:val="0"/>
              <w:ind w:firstLine="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6C24D0">
            <w:pPr>
              <w:adjustRightInd w:val="0"/>
              <w:snapToGrid w:val="0"/>
              <w:ind w:firstLine="504" w:firstLineChars="200"/>
              <w:jc w:val="both"/>
              <w:rPr>
                <w:rFonts w:ascii="仿宋_GB2312" w:hAnsi="仿宋_GB2312" w:eastAsia="仿宋_GB2312" w:cs="仿宋_GB2312"/>
                <w:bCs/>
                <w:color w:val="000000"/>
                <w:spacing w:val="6"/>
                <w:szCs w:val="28"/>
              </w:rPr>
            </w:pPr>
            <w:r>
              <w:rPr>
                <w:rFonts w:ascii="仿宋_GB2312" w:hAnsi="仿宋_GB2312" w:eastAsia="仿宋_GB2312" w:cs="仿宋_GB2312"/>
                <w:bCs/>
                <w:color w:val="000000"/>
                <w:spacing w:val="6"/>
                <w:szCs w:val="28"/>
              </w:rPr>
              <w:t>1. 技术可行性（30%）：工艺是否通过中试验证；</w:t>
            </w:r>
          </w:p>
          <w:p w14:paraId="5064FAAE">
            <w:pPr>
              <w:adjustRightInd w:val="0"/>
              <w:snapToGrid w:val="0"/>
              <w:ind w:firstLine="504" w:firstLineChars="200"/>
              <w:jc w:val="both"/>
              <w:rPr>
                <w:rFonts w:ascii="仿宋_GB2312" w:hAnsi="仿宋_GB2312" w:eastAsia="仿宋_GB2312" w:cs="仿宋_GB2312"/>
                <w:bCs/>
                <w:color w:val="000000"/>
                <w:spacing w:val="6"/>
                <w:szCs w:val="28"/>
              </w:rPr>
            </w:pPr>
            <w:r>
              <w:rPr>
                <w:rFonts w:ascii="仿宋_GB2312" w:hAnsi="仿宋_GB2312" w:eastAsia="仿宋_GB2312" w:cs="仿宋_GB2312"/>
                <w:bCs/>
                <w:color w:val="000000"/>
                <w:spacing w:val="6"/>
                <w:szCs w:val="28"/>
              </w:rPr>
              <w:t>2. 功能有效性（30%）：是否有细胞、动物、人群实验数据支持；</w:t>
            </w:r>
          </w:p>
          <w:p w14:paraId="793F200E">
            <w:pPr>
              <w:adjustRightInd w:val="0"/>
              <w:snapToGrid w:val="0"/>
              <w:ind w:firstLine="504" w:firstLineChars="200"/>
              <w:jc w:val="both"/>
              <w:rPr>
                <w:rFonts w:ascii="仿宋_GB2312" w:hAnsi="仿宋_GB2312" w:eastAsia="仿宋_GB2312" w:cs="仿宋_GB2312"/>
                <w:bCs/>
                <w:color w:val="000000"/>
                <w:spacing w:val="6"/>
                <w:szCs w:val="28"/>
              </w:rPr>
            </w:pPr>
            <w:r>
              <w:rPr>
                <w:rFonts w:ascii="仿宋_GB2312" w:hAnsi="仿宋_GB2312" w:eastAsia="仿宋_GB2312" w:cs="仿宋_GB2312"/>
                <w:bCs/>
                <w:color w:val="000000"/>
                <w:spacing w:val="6"/>
                <w:szCs w:val="28"/>
              </w:rPr>
              <w:t>3. 产品创新性（20%）：是否突破现有技术瓶颈；</w:t>
            </w:r>
          </w:p>
          <w:p w14:paraId="176FDAD6">
            <w:pPr>
              <w:adjustRightInd w:val="0"/>
              <w:snapToGrid w:val="0"/>
              <w:ind w:firstLine="504" w:firstLineChars="200"/>
              <w:jc w:val="both"/>
              <w:rPr>
                <w:rFonts w:hint="eastAsia" w:ascii="仿宋_GB2312" w:hAnsi="仿宋_GB2312" w:eastAsia="仿宋_GB2312" w:cs="仿宋_GB2312"/>
                <w:bCs/>
                <w:color w:val="FF0000"/>
                <w:spacing w:val="6"/>
                <w:szCs w:val="28"/>
              </w:rPr>
            </w:pPr>
            <w:r>
              <w:rPr>
                <w:rFonts w:ascii="仿宋_GB2312" w:hAnsi="仿宋_GB2312" w:eastAsia="仿宋_GB2312" w:cs="仿宋_GB2312"/>
                <w:bCs/>
                <w:color w:val="000000"/>
                <w:spacing w:val="6"/>
                <w:szCs w:val="28"/>
              </w:rPr>
              <w:t>4. 商业价值（20%）：市场定位、商业模式、社会效益是否清晰。</w:t>
            </w:r>
          </w:p>
        </w:tc>
      </w:tr>
      <w:tr w14:paraId="01906C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FBB155E">
            <w:pPr>
              <w:overflowPunct w:val="0"/>
              <w:adjustRightInd w:val="0"/>
              <w:snapToGrid w:val="0"/>
              <w:ind w:firstLine="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3F53558">
            <w:pPr>
              <w:adjustRightInd w:val="0"/>
              <w:snapToGrid w:val="0"/>
              <w:ind w:firstLine="504" w:firstLineChars="200"/>
              <w:jc w:val="both"/>
              <w:rPr>
                <w:rFonts w:hint="eastAsia" w:ascii="仿宋_GB2312" w:hAnsi="仿宋_GB2312" w:eastAsia="仿宋_GB2312" w:cs="仿宋_GB2312"/>
                <w:bCs/>
                <w:color w:val="FF0000"/>
                <w:spacing w:val="6"/>
                <w:szCs w:val="28"/>
              </w:rPr>
            </w:pPr>
            <w:r>
              <w:rPr>
                <w:rFonts w:hint="eastAsia" w:ascii="仿宋_GB2312" w:hAnsi="仿宋_GB2312" w:eastAsia="仿宋_GB2312" w:cs="仿宋_GB2312"/>
                <w:bCs/>
                <w:color w:val="000000"/>
                <w:spacing w:val="6"/>
                <w:szCs w:val="28"/>
              </w:rPr>
              <w:t>鼓励跨学科融合。</w:t>
            </w:r>
          </w:p>
        </w:tc>
      </w:tr>
    </w:tbl>
    <w:p w14:paraId="7732469A">
      <w:pPr>
        <w:rPr>
          <w:rFonts w:ascii="方正黑体简体" w:eastAsia="方正黑体简体"/>
          <w:bCs/>
          <w:spacing w:val="6"/>
          <w:sz w:val="32"/>
          <w:szCs w:val="32"/>
        </w:rPr>
      </w:pPr>
      <w:r>
        <w:rPr>
          <w:rFonts w:hint="eastAsia" w:ascii="方正黑体简体" w:eastAsia="方正黑体简体"/>
          <w:bCs/>
          <w:spacing w:val="6"/>
          <w:sz w:val="32"/>
          <w:szCs w:val="32"/>
        </w:rPr>
        <w:t>三、激励保障</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2A0CE5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414"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F8ED992">
            <w:pPr>
              <w:adjustRightInd w:val="0"/>
              <w:snapToGrid w:val="0"/>
              <w:spacing w:line="560" w:lineRule="exact"/>
              <w:ind w:firstLine="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lang w:val="en-US"/>
              </w:rPr>
              <w:t>保障</w:t>
            </w:r>
            <w:r>
              <w:rPr>
                <w:rFonts w:hint="eastAsia" w:ascii="楷体_GB2312" w:hAnsi="楷体_GB2312" w:eastAsia="楷体_GB2312" w:cs="楷体_GB2312"/>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8B750FB">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1. 提供公司实验室参观机会；</w:t>
            </w:r>
          </w:p>
          <w:p w14:paraId="1BAA6AED">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2. 提供植物蛋白原料；</w:t>
            </w:r>
          </w:p>
          <w:p w14:paraId="7ED404C8">
            <w:pPr>
              <w:adjustRightInd w:val="0"/>
              <w:snapToGrid w:val="0"/>
              <w:ind w:firstLine="504" w:firstLineChars="200"/>
              <w:jc w:val="both"/>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lang w:val="en-US"/>
              </w:rPr>
              <w:t>3. 产品的评价指导，全程跟进项目进展；</w:t>
            </w:r>
          </w:p>
        </w:tc>
      </w:tr>
      <w:tr w14:paraId="7F3384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4621"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62A0742">
            <w:pPr>
              <w:adjustRightInd w:val="0"/>
              <w:snapToGrid w:val="0"/>
              <w:spacing w:line="560" w:lineRule="exact"/>
              <w:ind w:firstLine="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A0215C2">
            <w:pPr>
              <w:adjustRightInd w:val="0"/>
              <w:snapToGrid w:val="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一、奖项设置</w:t>
            </w:r>
          </w:p>
          <w:p w14:paraId="18297049">
            <w:pPr>
              <w:adjustRightInd w:val="0"/>
              <w:snapToGrid w:val="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eastAsia="zh-CN"/>
              </w:rPr>
              <w:t>原则上设“擂主”团队1个，</w:t>
            </w:r>
            <w:r>
              <w:rPr>
                <w:rFonts w:hint="eastAsia" w:ascii="仿宋_GB2312" w:hAnsi="仿宋_GB2312" w:eastAsia="仿宋_GB2312" w:cs="仿宋_GB2312"/>
                <w:bCs/>
                <w:color w:val="000000"/>
                <w:spacing w:val="6"/>
                <w:szCs w:val="28"/>
                <w:lang w:val="en-US"/>
              </w:rPr>
              <w:t>根据实际情况评出相应的特等奖、一等奖、二等奖、三等奖项目若干。</w:t>
            </w:r>
          </w:p>
          <w:p w14:paraId="096DEE64">
            <w:pPr>
              <w:adjustRightInd w:val="0"/>
              <w:snapToGrid w:val="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二、激励措施</w:t>
            </w:r>
          </w:p>
          <w:p w14:paraId="6CCAEB3F">
            <w:pPr>
              <w:adjustRightInd w:val="0"/>
              <w:snapToGrid w:val="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本赛题将结合项目实际情况给予入选项目相应资金奖励。</w:t>
            </w:r>
          </w:p>
        </w:tc>
      </w:tr>
    </w:tbl>
    <w:p w14:paraId="4F68B888">
      <w:pPr>
        <w:tabs>
          <w:tab w:val="left" w:pos="8640"/>
        </w:tabs>
        <w:adjustRightInd w:val="0"/>
        <w:snapToGrid w:val="0"/>
        <w:spacing w:line="560" w:lineRule="exact"/>
        <w:rPr>
          <w:rFonts w:ascii="方正黑体简体" w:eastAsia="方正黑体简体"/>
          <w:bCs/>
          <w:spacing w:val="6"/>
          <w:sz w:val="32"/>
          <w:szCs w:val="32"/>
          <w:lang w:val="en-US"/>
        </w:rPr>
      </w:pPr>
      <w:r>
        <w:rPr>
          <w:rFonts w:hint="eastAsia" w:ascii="方正黑体简体" w:eastAsia="方正黑体简体"/>
          <w:bCs/>
          <w:spacing w:val="6"/>
          <w:sz w:val="32"/>
          <w:szCs w:val="32"/>
          <w:lang w:val="en-US"/>
        </w:rPr>
        <w:t>四、选题意义</w:t>
      </w:r>
    </w:p>
    <w:tbl>
      <w:tblPr>
        <w:tblStyle w:val="1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575FFE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3274A29D">
            <w:pPr>
              <w:overflowPunct w:val="0"/>
              <w:adjustRightInd w:val="0"/>
              <w:snapToGrid w:val="0"/>
              <w:ind w:firstLine="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E36047">
            <w:pPr>
              <w:adjustRightInd w:val="0"/>
              <w:snapToGrid w:val="0"/>
              <w:ind w:firstLine="504" w:firstLineChars="200"/>
              <w:jc w:val="both"/>
              <w:rPr>
                <w:rFonts w:hint="eastAsia" w:ascii="仿宋_GB2312" w:hAnsi="仿宋_GB2312" w:eastAsia="仿宋_GB2312" w:cs="仿宋_GB2312"/>
                <w:bCs/>
                <w:color w:val="FF0000"/>
                <w:spacing w:val="6"/>
                <w:szCs w:val="28"/>
              </w:rPr>
            </w:pPr>
            <w:r>
              <w:rPr>
                <w:rFonts w:hint="eastAsia" w:ascii="仿宋_GB2312" w:hAnsi="仿宋_GB2312" w:eastAsia="仿宋_GB2312" w:cs="仿宋_GB2312"/>
                <w:bCs/>
                <w:color w:val="000000"/>
                <w:spacing w:val="6"/>
                <w:szCs w:val="28"/>
                <w:lang w:val="en-US"/>
              </w:rPr>
              <w:t>突破传统主食高GI、低蛋白的技术瓶颈，推动植物蛋白加工技术在功能性主食中的应用，为我国慢病防控提供食品科技支撑。</w:t>
            </w:r>
          </w:p>
        </w:tc>
      </w:tr>
      <w:tr w14:paraId="2D4C4F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EFB619">
            <w:pPr>
              <w:overflowPunct w:val="0"/>
              <w:adjustRightInd w:val="0"/>
              <w:snapToGrid w:val="0"/>
              <w:ind w:firstLine="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E8F13E">
            <w:pPr>
              <w:adjustRightInd w:val="0"/>
              <w:snapToGrid w:val="0"/>
              <w:ind w:firstLine="504" w:firstLineChars="200"/>
              <w:jc w:val="both"/>
              <w:rPr>
                <w:rFonts w:hint="eastAsia" w:ascii="仿宋_GB2312" w:hAnsi="仿宋_GB2312" w:eastAsia="仿宋_GB2312" w:cs="仿宋_GB2312"/>
                <w:bCs/>
                <w:color w:val="FF0000"/>
                <w:spacing w:val="6"/>
                <w:szCs w:val="28"/>
              </w:rPr>
            </w:pPr>
            <w:r>
              <w:rPr>
                <w:rFonts w:hint="eastAsia" w:ascii="仿宋_GB2312" w:hAnsi="仿宋_GB2312" w:eastAsia="仿宋_GB2312" w:cs="仿宋_GB2312"/>
                <w:bCs/>
                <w:color w:val="000000"/>
                <w:spacing w:val="6"/>
                <w:szCs w:val="28"/>
                <w:lang w:val="en-US"/>
              </w:rPr>
              <w:t>项目成果可转化为适用于高血糖人群的控糖主食产品，降低医疗支出，提升居民生活质量。同时带动大豆、小麦等农产品的深加工产业链升级，助力“健康北京”建设。</w:t>
            </w:r>
          </w:p>
        </w:tc>
      </w:tr>
    </w:tbl>
    <w:p w14:paraId="7DE55991">
      <w:pPr>
        <w:rPr>
          <w:rFonts w:hint="eastAsia" w:ascii="楷体_GB2312" w:hAnsi="楷体_GB2312" w:eastAsia="楷体_GB2312" w:cs="楷体_GB2312"/>
        </w:rPr>
      </w:pPr>
      <w:r>
        <w:rPr>
          <w:rFonts w:hint="eastAsia" w:ascii="楷体_GB2312" w:hAnsi="楷体_GB2312" w:eastAsia="楷体_GB2312" w:cs="楷体_GB2312"/>
        </w:rPr>
        <w:br w:type="page"/>
      </w:r>
    </w:p>
    <w:p w14:paraId="2B403365">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“青智未来”新质生产力</w:t>
      </w:r>
      <w:r>
        <w:rPr>
          <w:rFonts w:hint="default" w:ascii="Times New Roman" w:hAnsi="Times New Roman" w:eastAsia="方正小标宋简体" w:cs="Times New Roman"/>
          <w:b w:val="0"/>
          <w:bCs/>
          <w:kern w:val="2"/>
          <w:sz w:val="44"/>
          <w:szCs w:val="32"/>
          <w:highlight w:val="none"/>
          <w:lang w:val="en-US" w:eastAsia="zh-CN"/>
        </w:rPr>
        <w:t>专项赛</w:t>
      </w:r>
    </w:p>
    <w:p w14:paraId="79339856">
      <w:pPr>
        <w:keepNext w:val="0"/>
        <w:keepLines w:val="0"/>
        <w:pageBreakBefore w:val="0"/>
        <w:widowControl w:val="0"/>
        <w:tabs>
          <w:tab w:val="left" w:pos="8640"/>
        </w:tabs>
        <w:kinsoku/>
        <w:wordWrap w:val="0"/>
        <w:topLinePunct w:val="0"/>
        <w:autoSpaceDE/>
        <w:autoSpaceDN/>
        <w:bidi w:val="0"/>
        <w:adjustRightInd w:val="0"/>
        <w:snapToGrid w:val="0"/>
        <w:spacing w:line="560" w:lineRule="exact"/>
        <w:jc w:val="center"/>
        <w:rPr>
          <w:rFonts w:hint="default" w:ascii="Times New Roman" w:hAnsi="Times New Roman" w:eastAsia="方正小标宋简体" w:cs="Times New Roman"/>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—1</w:t>
      </w:r>
      <w:r>
        <w:rPr>
          <w:rFonts w:hint="eastAsia" w:eastAsia="方正小标宋简体" w:cs="方正小标宋简体"/>
          <w:b w:val="0"/>
          <w:bCs/>
          <w:kern w:val="2"/>
          <w:sz w:val="44"/>
          <w:szCs w:val="32"/>
          <w:highlight w:val="none"/>
          <w:lang w:val="en-US" w:eastAsia="zh-CN"/>
        </w:rPr>
        <w:t>2</w:t>
      </w:r>
    </w:p>
    <w:p w14:paraId="4D7ADBF6">
      <w:pPr>
        <w:keepNext w:val="0"/>
        <w:keepLines w:val="0"/>
        <w:pageBreakBefore w:val="0"/>
        <w:widowControl w:val="0"/>
        <w:tabs>
          <w:tab w:val="left" w:pos="8640"/>
        </w:tabs>
        <w:kinsoku/>
        <w:wordWrap w:val="0"/>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b w:val="0"/>
          <w:bCs/>
          <w:kern w:val="2"/>
          <w:sz w:val="32"/>
          <w:szCs w:val="22"/>
          <w:highlight w:val="none"/>
          <w:lang w:val="en-US" w:eastAsia="zh-CN"/>
        </w:rPr>
      </w:pPr>
    </w:p>
    <w:p w14:paraId="20F2755A">
      <w:pPr>
        <w:tabs>
          <w:tab w:val="left" w:pos="8640"/>
        </w:tabs>
        <w:adjustRightInd w:val="0"/>
        <w:snapToGrid w:val="0"/>
        <w:spacing w:line="560" w:lineRule="exact"/>
        <w:rPr>
          <w:rFonts w:hint="eastAsia" w:ascii="方正黑体简体" w:hAnsi="Times New Roman" w:eastAsia="方正黑体简体" w:cs="Times New Roman"/>
          <w:bCs/>
          <w:spacing w:val="6"/>
          <w:sz w:val="32"/>
          <w:szCs w:val="32"/>
        </w:rPr>
      </w:pPr>
      <w:r>
        <w:rPr>
          <w:rFonts w:hint="eastAsia" w:ascii="方正黑体简体" w:hAnsi="Times New Roman" w:eastAsia="方正黑体简体" w:cs="Times New Roman"/>
          <w:bCs/>
          <w:spacing w:val="6"/>
          <w:sz w:val="32"/>
          <w:szCs w:val="32"/>
        </w:rPr>
        <w:t>一、单位信息</w:t>
      </w:r>
    </w:p>
    <w:tbl>
      <w:tblPr>
        <w:tblStyle w:val="11"/>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5"/>
        <w:gridCol w:w="3179"/>
        <w:gridCol w:w="1073"/>
        <w:gridCol w:w="2783"/>
      </w:tblGrid>
      <w:tr w14:paraId="052A5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565" w:type="dxa"/>
            <w:vAlign w:val="center"/>
          </w:tcPr>
          <w:p w14:paraId="4E0E6C2A">
            <w:pPr>
              <w:ind w:firstLine="0" w:firstLineChars="0"/>
              <w:jc w:val="center"/>
              <w:rPr>
                <w:rFonts w:eastAsia="楷体_GB2312"/>
              </w:rPr>
            </w:pPr>
            <w:r>
              <w:rPr>
                <w:rFonts w:hint="eastAsia" w:ascii="楷体_GB2312" w:hAnsi="楷体_GB2312" w:eastAsia="楷体_GB2312" w:cs="楷体_GB2312"/>
                <w:sz w:val="28"/>
                <w:szCs w:val="32"/>
                <w:lang w:val="en-US"/>
              </w:rPr>
              <w:t>单位名称</w:t>
            </w:r>
          </w:p>
        </w:tc>
        <w:tc>
          <w:tcPr>
            <w:tcW w:w="7035" w:type="dxa"/>
            <w:gridSpan w:val="3"/>
            <w:vAlign w:val="center"/>
          </w:tcPr>
          <w:p w14:paraId="36499761">
            <w:pPr>
              <w:ind w:left="0" w:leftChars="0" w:firstLine="0" w:firstLineChars="0"/>
              <w:jc w:val="center"/>
              <w:rPr>
                <w:rFonts w:eastAsia="仿宋_GB2312"/>
                <w:lang w:val="en-US"/>
              </w:rPr>
            </w:pPr>
            <w:r>
              <w:rPr>
                <w:rFonts w:hint="eastAsia" w:eastAsia="仿宋_GB2312"/>
                <w:lang w:val="en-US"/>
              </w:rPr>
              <w:t>北京航天斯达科技有限公司</w:t>
            </w:r>
          </w:p>
        </w:tc>
      </w:tr>
      <w:tr w14:paraId="1152B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565" w:type="dxa"/>
            <w:vAlign w:val="center"/>
          </w:tcPr>
          <w:p w14:paraId="5D64A48D">
            <w:pPr>
              <w:ind w:firstLine="0" w:firstLineChars="0"/>
              <w:jc w:val="center"/>
              <w:rPr>
                <w:rFonts w:eastAsia="楷体_GB2312"/>
                <w:bCs/>
                <w:spacing w:val="6"/>
                <w:szCs w:val="28"/>
                <w:lang w:val="en-US"/>
              </w:rPr>
            </w:pPr>
            <w:r>
              <w:rPr>
                <w:rFonts w:hint="eastAsia" w:ascii="楷体_GB2312" w:hAnsi="楷体_GB2312" w:eastAsia="楷体_GB2312" w:cs="楷体_GB2312"/>
                <w:sz w:val="28"/>
                <w:szCs w:val="32"/>
                <w:lang w:val="en-US"/>
              </w:rPr>
              <w:t>单位类型</w:t>
            </w:r>
          </w:p>
        </w:tc>
        <w:tc>
          <w:tcPr>
            <w:tcW w:w="7035" w:type="dxa"/>
            <w:gridSpan w:val="3"/>
            <w:vAlign w:val="center"/>
          </w:tcPr>
          <w:p w14:paraId="316B84F2">
            <w:pPr>
              <w:ind w:left="0" w:leftChars="0" w:firstLine="0" w:firstLineChars="0"/>
              <w:jc w:val="center"/>
              <w:rPr>
                <w:rFonts w:eastAsia="仿宋_GB2312"/>
                <w:lang w:val="en-US"/>
              </w:rPr>
            </w:pPr>
            <w:r>
              <w:rPr>
                <w:rFonts w:hint="eastAsia" w:eastAsia="仿宋_GB2312"/>
                <w:lang w:val="en-US"/>
              </w:rPr>
              <w:t>国有控股企业</w:t>
            </w:r>
          </w:p>
        </w:tc>
      </w:tr>
      <w:tr w14:paraId="08D6F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65" w:type="dxa"/>
            <w:vAlign w:val="center"/>
          </w:tcPr>
          <w:p w14:paraId="2CA2481A">
            <w:pPr>
              <w:ind w:firstLine="0" w:firstLineChars="0"/>
              <w:jc w:val="center"/>
              <w:rPr>
                <w:rFonts w:eastAsia="楷体_GB2312"/>
              </w:rPr>
            </w:pPr>
            <w:r>
              <w:rPr>
                <w:rFonts w:hint="eastAsia" w:ascii="楷体_GB2312" w:hAnsi="楷体_GB2312" w:eastAsia="楷体_GB2312" w:cs="楷体_GB2312"/>
                <w:sz w:val="28"/>
                <w:szCs w:val="32"/>
                <w:lang w:val="en-US"/>
              </w:rPr>
              <w:t>地址</w:t>
            </w:r>
          </w:p>
        </w:tc>
        <w:tc>
          <w:tcPr>
            <w:tcW w:w="7035" w:type="dxa"/>
            <w:gridSpan w:val="3"/>
            <w:vAlign w:val="center"/>
          </w:tcPr>
          <w:p w14:paraId="15E59D41">
            <w:pPr>
              <w:ind w:left="0" w:leftChars="0" w:firstLine="0" w:firstLineChars="0"/>
              <w:jc w:val="center"/>
              <w:rPr>
                <w:rFonts w:eastAsia="仿宋_GB2312"/>
                <w:lang w:val="en-US"/>
              </w:rPr>
            </w:pPr>
            <w:r>
              <w:rPr>
                <w:rFonts w:hint="eastAsia" w:eastAsia="仿宋_GB2312"/>
                <w:lang w:val="en-US"/>
              </w:rPr>
              <w:t>北京市北京经济技术开发区（大兴）瀛吉街11号院3号楼10层1001室</w:t>
            </w:r>
          </w:p>
        </w:tc>
      </w:tr>
      <w:tr w14:paraId="7938F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565" w:type="dxa"/>
            <w:vAlign w:val="center"/>
          </w:tcPr>
          <w:p w14:paraId="0938C551">
            <w:pPr>
              <w:ind w:firstLine="0" w:firstLineChars="0"/>
              <w:jc w:val="center"/>
              <w:rPr>
                <w:rFonts w:eastAsia="楷体_GB2312"/>
              </w:rPr>
            </w:pPr>
            <w:r>
              <w:rPr>
                <w:rFonts w:hint="eastAsia" w:ascii="楷体_GB2312" w:hAnsi="楷体_GB2312" w:eastAsia="楷体_GB2312" w:cs="楷体_GB2312"/>
                <w:sz w:val="28"/>
                <w:szCs w:val="32"/>
                <w:lang w:val="en-US"/>
              </w:rPr>
              <w:t>单位简介</w:t>
            </w:r>
          </w:p>
        </w:tc>
        <w:tc>
          <w:tcPr>
            <w:tcW w:w="7035" w:type="dxa"/>
            <w:gridSpan w:val="3"/>
            <w:vAlign w:val="center"/>
          </w:tcPr>
          <w:p w14:paraId="3D008BFD">
            <w:pPr>
              <w:rPr>
                <w:rFonts w:eastAsia="仿宋_GB2312"/>
                <w:lang w:val="en-US"/>
              </w:rPr>
            </w:pPr>
            <w:r>
              <w:rPr>
                <w:rFonts w:hint="eastAsia" w:eastAsia="仿宋_GB2312"/>
                <w:lang w:val="en-US"/>
              </w:rPr>
              <w:t>北京航天斯达科技有限公司成立于1992年7月，注册资金5033万元，是中国航天科技集团有限公司第一研究院第七〇二研究所下属单位。公司目前在职员工1</w:t>
            </w:r>
            <w:r>
              <w:rPr>
                <w:rFonts w:hint="eastAsia" w:eastAsia="仿宋_GB2312"/>
                <w:lang w:val="en-US" w:eastAsia="zh-CN"/>
              </w:rPr>
              <w:t>58</w:t>
            </w:r>
            <w:r>
              <w:rPr>
                <w:rFonts w:hint="eastAsia" w:eastAsia="仿宋_GB2312"/>
                <w:lang w:val="en-US"/>
              </w:rPr>
              <w:t>人，其中博士2人，本科及以上学历115人；研究员</w:t>
            </w:r>
            <w:r>
              <w:rPr>
                <w:rFonts w:hint="eastAsia" w:eastAsia="仿宋_GB2312"/>
                <w:lang w:val="en-US" w:eastAsia="zh-CN"/>
              </w:rPr>
              <w:t>4</w:t>
            </w:r>
            <w:r>
              <w:rPr>
                <w:rFonts w:hint="eastAsia" w:eastAsia="仿宋_GB2312"/>
                <w:lang w:val="en-US"/>
              </w:rPr>
              <w:t>人，中级及以上职称</w:t>
            </w:r>
            <w:r>
              <w:rPr>
                <w:rFonts w:hint="eastAsia" w:eastAsia="仿宋_GB2312"/>
                <w:lang w:val="en-US" w:eastAsia="zh-CN"/>
              </w:rPr>
              <w:t>69</w:t>
            </w:r>
            <w:r>
              <w:rPr>
                <w:rFonts w:hint="eastAsia" w:eastAsia="仿宋_GB2312"/>
                <w:lang w:val="en-US"/>
              </w:rPr>
              <w:t>人，是一支专业能力过硬、素质全面的团队。</w:t>
            </w:r>
          </w:p>
          <w:p w14:paraId="590743DF">
            <w:pPr>
              <w:rPr>
                <w:rFonts w:eastAsia="仿宋_GB2312"/>
                <w:lang w:val="en-US"/>
              </w:rPr>
            </w:pPr>
            <w:r>
              <w:rPr>
                <w:rFonts w:hint="eastAsia" w:eastAsia="仿宋_GB2312"/>
                <w:lang w:val="en-US"/>
              </w:rPr>
              <w:t>公司主要从事智能装备、自动化产品线非标开发与工程数字化相关研究与技术研发，在军工复杂生产线及智能装备研发、工业智能、工程图纸数字化与知识工程等方向具有扎实研究基础和丰富应用经验。近年来承担多项国家级、省部级科研项目，在工程智能设计、智能制造等领域形成了一批具有自主知识产权的核心成果，具备良好的产学研协同创新条件。</w:t>
            </w:r>
          </w:p>
          <w:p w14:paraId="06C3AF7C">
            <w:pPr>
              <w:ind w:firstLine="482"/>
              <w:rPr>
                <w:rFonts w:eastAsia="仿宋_GB2312"/>
                <w:lang w:val="en-US"/>
              </w:rPr>
            </w:pPr>
            <w:r>
              <w:rPr>
                <w:rFonts w:hint="eastAsia" w:eastAsia="仿宋_GB2312"/>
                <w:b/>
                <w:lang w:val="en-US"/>
              </w:rPr>
              <w:t>公司于2024年成功入选国家工信部智能制造系统解决方案“揭榜挂帅”项目</w:t>
            </w:r>
            <w:r>
              <w:rPr>
                <w:rFonts w:hint="eastAsia" w:eastAsia="仿宋_GB2312"/>
                <w:lang w:val="en-US"/>
              </w:rPr>
              <w:t>，拥有国家级专精特新“小巨人”、国家高新技术企业、中关村高新技术企业、北京市专精特新中小企业、北京市企业技术中心、北京市设计创新中心、北京市企业科技研究开发机构、北京市高精尖产业设计中心、北京市智能制造关键技术装备供应商</w:t>
            </w:r>
            <w:r>
              <w:rPr>
                <w:rFonts w:hint="eastAsia" w:eastAsia="仿宋_GB2312"/>
                <w:lang w:val="en-US" w:eastAsia="zh-CN"/>
              </w:rPr>
              <w:t>、北京市知识产权优势单位</w:t>
            </w:r>
            <w:r>
              <w:rPr>
                <w:rFonts w:hint="eastAsia" w:eastAsia="仿宋_GB2312"/>
                <w:lang w:val="en-US"/>
              </w:rPr>
              <w:t>等多项荣誉资质；产品曾荣获纽伦堡国际发明展金奖、波兰发明协会创意产品奖、中国专利奖等国内外大奖。</w:t>
            </w:r>
          </w:p>
          <w:p w14:paraId="1AD382BE">
            <w:pPr>
              <w:rPr>
                <w:rFonts w:eastAsia="仿宋_GB2312"/>
                <w:lang w:val="en-US"/>
              </w:rPr>
            </w:pPr>
            <w:r>
              <w:rPr>
                <w:rFonts w:hint="eastAsia" w:eastAsia="仿宋_GB2312"/>
                <w:lang w:val="en-US"/>
              </w:rPr>
              <w:t>公司获批国家专利2</w:t>
            </w:r>
            <w:r>
              <w:rPr>
                <w:rFonts w:hint="eastAsia" w:eastAsia="仿宋_GB2312"/>
                <w:lang w:val="en-US" w:eastAsia="zh-CN"/>
              </w:rPr>
              <w:t>00余</w:t>
            </w:r>
            <w:r>
              <w:rPr>
                <w:rFonts w:hint="eastAsia" w:eastAsia="仿宋_GB2312"/>
                <w:lang w:val="en-US"/>
              </w:rPr>
              <w:t>项，其中发明专利</w:t>
            </w:r>
            <w:r>
              <w:rPr>
                <w:rFonts w:hint="eastAsia" w:eastAsia="仿宋_GB2312"/>
                <w:lang w:val="en-US" w:eastAsia="zh-CN"/>
              </w:rPr>
              <w:t>89</w:t>
            </w:r>
            <w:r>
              <w:rPr>
                <w:rFonts w:hint="eastAsia" w:eastAsia="仿宋_GB2312"/>
                <w:lang w:val="en-US"/>
              </w:rPr>
              <w:t>项，为航空、航天、船舶、兵器、铁路、风电、化纤、石油、化工、高等院校和科研院所提供了大量的高新技术设备和技术支持。重点客户包括航天科技集团、航天科工集团、中国印钞造币有限公司、中车集团、中国石油、中国石化、国家电网、华峰集团、韩国晓星集团、新乡化纤、华海集团、泰和新材、壳牌、道达尔、中能风电、沈飞集团等。</w:t>
            </w:r>
          </w:p>
        </w:tc>
      </w:tr>
      <w:tr w14:paraId="0750C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565" w:type="dxa"/>
            <w:vAlign w:val="center"/>
          </w:tcPr>
          <w:p w14:paraId="5934A75E">
            <w:pPr>
              <w:ind w:firstLine="0" w:firstLineChars="0"/>
              <w:jc w:val="center"/>
              <w:rPr>
                <w:rFonts w:eastAsia="楷体_GB2312"/>
                <w:bCs/>
                <w:spacing w:val="6"/>
                <w:szCs w:val="28"/>
              </w:rPr>
            </w:pPr>
            <w:r>
              <w:rPr>
                <w:rFonts w:hint="eastAsia" w:ascii="楷体_GB2312" w:hAnsi="楷体_GB2312" w:eastAsia="楷体_GB2312" w:cs="楷体_GB2312"/>
                <w:sz w:val="28"/>
                <w:szCs w:val="32"/>
                <w:lang w:val="en-US"/>
              </w:rPr>
              <w:t>联系人</w:t>
            </w:r>
          </w:p>
        </w:tc>
        <w:tc>
          <w:tcPr>
            <w:tcW w:w="3179" w:type="dxa"/>
            <w:vAlign w:val="center"/>
          </w:tcPr>
          <w:p w14:paraId="3A4A889A">
            <w:pPr>
              <w:rPr>
                <w:rFonts w:eastAsia="仿宋_GB2312"/>
                <w:lang w:val="en-US"/>
              </w:rPr>
            </w:pPr>
            <w:r>
              <w:rPr>
                <w:rFonts w:hint="eastAsia" w:ascii="仿宋_GB2312" w:hAnsi="仿宋_GB2312" w:eastAsia="仿宋_GB2312" w:cs="仿宋_GB2312"/>
                <w:lang w:val="en-US"/>
              </w:rPr>
              <w:t>李文宇</w:t>
            </w:r>
          </w:p>
        </w:tc>
        <w:tc>
          <w:tcPr>
            <w:tcW w:w="1073" w:type="dxa"/>
            <w:vAlign w:val="center"/>
          </w:tcPr>
          <w:p w14:paraId="501C15CB">
            <w:pPr>
              <w:ind w:firstLine="0" w:firstLineChars="0"/>
              <w:jc w:val="center"/>
              <w:rPr>
                <w:rFonts w:eastAsia="楷体_GB2312"/>
              </w:rPr>
            </w:pPr>
            <w:r>
              <w:rPr>
                <w:rFonts w:hint="eastAsia" w:ascii="楷体_GB2312" w:hAnsi="楷体_GB2312" w:eastAsia="楷体_GB2312" w:cs="楷体_GB2312"/>
                <w:sz w:val="28"/>
                <w:szCs w:val="32"/>
                <w:lang w:val="en-US"/>
              </w:rPr>
              <w:t>职务</w:t>
            </w:r>
          </w:p>
        </w:tc>
        <w:tc>
          <w:tcPr>
            <w:tcW w:w="2783" w:type="dxa"/>
            <w:vAlign w:val="center"/>
          </w:tcPr>
          <w:p w14:paraId="29082CB9">
            <w:pPr>
              <w:ind w:firstLine="0" w:firstLineChars="0"/>
              <w:rPr>
                <w:rFonts w:hint="eastAsia" w:ascii="仿宋_GB2312" w:hAnsi="仿宋_GB2312" w:eastAsia="仿宋_GB2312" w:cs="仿宋_GB2312"/>
              </w:rPr>
            </w:pPr>
            <w:r>
              <w:rPr>
                <w:rFonts w:hint="eastAsia" w:ascii="仿宋_GB2312" w:hAnsi="仿宋_GB2312" w:eastAsia="仿宋_GB2312" w:cs="仿宋_GB2312"/>
                <w:lang w:val="en-US"/>
              </w:rPr>
              <w:t>副总经理兼技术总监</w:t>
            </w:r>
          </w:p>
        </w:tc>
      </w:tr>
      <w:tr w14:paraId="54DBC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565" w:type="dxa"/>
            <w:vAlign w:val="center"/>
          </w:tcPr>
          <w:p w14:paraId="4F4A852A">
            <w:pPr>
              <w:ind w:firstLine="0" w:firstLineChars="0"/>
              <w:jc w:val="center"/>
              <w:rPr>
                <w:rFonts w:eastAsia="楷体_GB2312"/>
                <w:bCs/>
                <w:spacing w:val="6"/>
                <w:szCs w:val="28"/>
                <w:lang w:val="en-US"/>
              </w:rPr>
            </w:pPr>
            <w:r>
              <w:rPr>
                <w:rFonts w:hint="eastAsia" w:ascii="楷体_GB2312" w:hAnsi="楷体_GB2312" w:eastAsia="楷体_GB2312" w:cs="楷体_GB2312"/>
                <w:sz w:val="28"/>
                <w:szCs w:val="32"/>
                <w:lang w:val="en-US"/>
              </w:rPr>
              <w:t>联系方式</w:t>
            </w:r>
          </w:p>
        </w:tc>
        <w:tc>
          <w:tcPr>
            <w:tcW w:w="3179" w:type="dxa"/>
            <w:vAlign w:val="center"/>
          </w:tcPr>
          <w:p w14:paraId="116DBE4A">
            <w:pPr>
              <w:rPr>
                <w:rFonts w:eastAsia="仿宋_GB2312"/>
                <w:lang w:val="en-US"/>
              </w:rPr>
            </w:pPr>
            <w:r>
              <w:rPr>
                <w:rFonts w:hint="eastAsia" w:eastAsia="华文楷体"/>
                <w:lang w:val="en-US"/>
              </w:rPr>
              <w:t>13810960851</w:t>
            </w:r>
          </w:p>
        </w:tc>
        <w:tc>
          <w:tcPr>
            <w:tcW w:w="1073" w:type="dxa"/>
            <w:vAlign w:val="center"/>
          </w:tcPr>
          <w:p w14:paraId="4FB898C2">
            <w:pPr>
              <w:ind w:firstLine="0" w:firstLineChars="0"/>
              <w:jc w:val="center"/>
              <w:rPr>
                <w:rFonts w:eastAsia="楷体_GB2312"/>
              </w:rPr>
            </w:pPr>
            <w:r>
              <w:rPr>
                <w:rFonts w:hint="eastAsia" w:ascii="楷体_GB2312" w:hAnsi="楷体_GB2312" w:eastAsia="楷体_GB2312" w:cs="楷体_GB2312"/>
                <w:sz w:val="28"/>
                <w:szCs w:val="32"/>
                <w:lang w:val="en-US"/>
              </w:rPr>
              <w:t>微信</w:t>
            </w:r>
          </w:p>
        </w:tc>
        <w:tc>
          <w:tcPr>
            <w:tcW w:w="2783" w:type="dxa"/>
            <w:vAlign w:val="center"/>
          </w:tcPr>
          <w:p w14:paraId="0F9F674F">
            <w:pPr>
              <w:rPr>
                <w:rFonts w:eastAsia="方正仿宋简体"/>
              </w:rPr>
            </w:pPr>
            <w:r>
              <w:rPr>
                <w:rFonts w:hint="eastAsia" w:eastAsia="华文楷体"/>
                <w:lang w:val="en-US"/>
              </w:rPr>
              <w:t>13810960851</w:t>
            </w:r>
          </w:p>
        </w:tc>
      </w:tr>
    </w:tbl>
    <w:p w14:paraId="01020C06">
      <w:pPr>
        <w:tabs>
          <w:tab w:val="left" w:pos="8640"/>
        </w:tabs>
        <w:adjustRightInd w:val="0"/>
        <w:snapToGrid w:val="0"/>
        <w:spacing w:line="560" w:lineRule="exact"/>
        <w:rPr>
          <w:rFonts w:hint="eastAsia" w:ascii="方正黑体简体" w:hAnsi="Times New Roman" w:eastAsia="方正黑体简体" w:cs="Times New Roman"/>
          <w:bCs/>
          <w:spacing w:val="6"/>
          <w:sz w:val="32"/>
          <w:szCs w:val="32"/>
        </w:rPr>
      </w:pPr>
      <w:r>
        <w:rPr>
          <w:rFonts w:hint="eastAsia" w:ascii="方正黑体简体" w:hAnsi="Times New Roman" w:eastAsia="方正黑体简体" w:cs="Times New Roman"/>
          <w:bCs/>
          <w:spacing w:val="6"/>
          <w:sz w:val="32"/>
          <w:szCs w:val="32"/>
        </w:rPr>
        <w:t>二、选题说明</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76A722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627"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4331DBC">
            <w:pPr>
              <w:spacing w:line="560" w:lineRule="exact"/>
              <w:ind w:firstLine="0" w:firstLineChars="0"/>
              <w:jc w:val="center"/>
              <w:rPr>
                <w:rFonts w:eastAsia="楷体_GB2312"/>
              </w:rPr>
            </w:pPr>
            <w:r>
              <w:rPr>
                <w:rFonts w:hint="eastAsia" w:ascii="楷体_GB2312" w:hAnsi="楷体_GB2312" w:eastAsia="楷体_GB2312" w:cs="楷体_GB2312"/>
                <w:color w:val="000000"/>
                <w:sz w:val="28"/>
                <w:szCs w:val="28"/>
              </w:rPr>
              <w:t>选题题目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718F3F9">
            <w:pPr>
              <w:ind w:left="0" w:leftChars="0" w:firstLine="0" w:firstLineChars="0"/>
              <w:jc w:val="center"/>
              <w:rPr>
                <w:rFonts w:eastAsia="仿宋_GB2312"/>
              </w:rPr>
            </w:pPr>
            <w:r>
              <w:rPr>
                <w:rFonts w:hint="eastAsia" w:eastAsia="仿宋_GB2312"/>
              </w:rPr>
              <w:t>基于多模态大模型的工程数字图纸智能管理系统</w:t>
            </w:r>
          </w:p>
        </w:tc>
      </w:tr>
      <w:tr w14:paraId="2D68BA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445"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37029B6">
            <w:pPr>
              <w:spacing w:line="560" w:lineRule="exact"/>
              <w:ind w:firstLine="0" w:firstLineChars="0"/>
              <w:jc w:val="center"/>
              <w:rPr>
                <w:rFonts w:eastAsia="楷体_GB2312"/>
              </w:rPr>
            </w:pPr>
            <w:r>
              <w:rPr>
                <w:rFonts w:hint="eastAsia" w:ascii="楷体_GB2312" w:hAnsi="楷体_GB2312" w:eastAsia="楷体_GB2312" w:cs="楷体_GB2312"/>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D676067">
            <w:pPr>
              <w:ind w:left="0" w:leftChars="0" w:firstLine="0" w:firstLineChars="0"/>
              <w:jc w:val="center"/>
              <w:rPr>
                <w:rFonts w:eastAsia="仿宋_GB2312"/>
              </w:rPr>
            </w:pPr>
            <w:r>
              <w:rPr>
                <w:rFonts w:hint="eastAsia" w:ascii="仿宋_GB2312" w:hAnsi="仿宋_GB2312" w:eastAsia="仿宋_GB2312" w:cs="仿宋_GB2312"/>
                <w:bCs/>
                <w:color w:val="000000"/>
                <w:spacing w:val="6"/>
                <w:szCs w:val="28"/>
              </w:rPr>
              <w:t>智能制造</w:t>
            </w:r>
          </w:p>
        </w:tc>
      </w:tr>
      <w:tr w14:paraId="2DA1B3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5618"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0AD4396">
            <w:pPr>
              <w:spacing w:line="560" w:lineRule="exact"/>
              <w:ind w:firstLine="0" w:firstLineChars="0"/>
              <w:jc w:val="center"/>
              <w:rPr>
                <w:rFonts w:eastAsia="楷体_GB2312"/>
              </w:rPr>
            </w:pPr>
            <w:r>
              <w:rPr>
                <w:rFonts w:hint="eastAsia" w:ascii="楷体_GB2312" w:hAnsi="楷体_GB2312" w:eastAsia="楷体_GB2312" w:cs="楷体_GB2312"/>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A0C6AC5">
            <w:pPr>
              <w:ind w:firstLine="504"/>
              <w:rPr>
                <w:rFonts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在新型工业化、制造强国和数字中国战略背景下，工程设计与制造全流程的数字化、智能化水平，已成为提升产业核心竞争力、推动制造业高质量发展的关键基础。当前工程数字图纸主要以</w:t>
            </w:r>
            <w:r>
              <w:rPr>
                <w:rFonts w:ascii="仿宋_GB2312" w:hAnsi="仿宋_GB2312" w:eastAsia="仿宋_GB2312" w:cs="仿宋_GB2312"/>
                <w:bCs/>
                <w:color w:val="000000"/>
                <w:spacing w:val="6"/>
                <w:szCs w:val="28"/>
                <w:lang w:val="en-US"/>
              </w:rPr>
              <w:t>PDF</w:t>
            </w:r>
            <w:r>
              <w:rPr>
                <w:rFonts w:hint="eastAsia" w:ascii="仿宋_GB2312" w:hAnsi="仿宋_GB2312" w:eastAsia="仿宋_GB2312" w:cs="仿宋_GB2312"/>
                <w:bCs/>
                <w:color w:val="000000"/>
                <w:spacing w:val="6"/>
                <w:szCs w:val="28"/>
                <w:lang w:val="en-US"/>
              </w:rPr>
              <w:t>、</w:t>
            </w:r>
            <w:r>
              <w:rPr>
                <w:rFonts w:ascii="仿宋_GB2312" w:hAnsi="仿宋_GB2312" w:eastAsia="仿宋_GB2312" w:cs="仿宋_GB2312"/>
                <w:bCs/>
                <w:color w:val="000000"/>
                <w:spacing w:val="6"/>
                <w:szCs w:val="28"/>
                <w:lang w:val="en-US"/>
              </w:rPr>
              <w:t>CAD</w:t>
            </w:r>
            <w:r>
              <w:rPr>
                <w:rFonts w:hint="eastAsia" w:ascii="仿宋_GB2312" w:hAnsi="仿宋_GB2312" w:eastAsia="仿宋_GB2312" w:cs="仿宋_GB2312"/>
                <w:bCs/>
                <w:color w:val="000000"/>
                <w:spacing w:val="6"/>
                <w:szCs w:val="28"/>
                <w:lang w:val="en-US"/>
              </w:rPr>
              <w:t>、扫描图像等多模态形式呈现，存在图纸理解高度依赖人工、信息检索效率低、设计知识复用难、版本变更难以追溯等问题，已成为制约工程领域数字化转型的现实瓶颈。随着多模态大语言模型、大数据与知识图谱技术的快速发展与深度融合，为工程数字图纸实现从“静态存储”向“智能理解与全生命周期关联管理”的跨越式升级，提供了坚实的技术支撑。</w:t>
            </w:r>
          </w:p>
          <w:p w14:paraId="2320F019">
            <w:pPr>
              <w:ind w:firstLine="504"/>
              <w:rPr>
                <w:rFonts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本项目聚焦工程数字图纸智能理解与应用需求，研发基于多模态大模型的数字图纸智能管理系统。系统面向</w:t>
            </w:r>
            <w:r>
              <w:rPr>
                <w:rFonts w:ascii="仿宋_GB2312" w:hAnsi="仿宋_GB2312" w:eastAsia="仿宋_GB2312" w:cs="仿宋_GB2312"/>
                <w:bCs/>
                <w:color w:val="000000"/>
                <w:spacing w:val="6"/>
                <w:szCs w:val="28"/>
                <w:lang w:val="en-US"/>
              </w:rPr>
              <w:t>PDF</w:t>
            </w:r>
            <w:r>
              <w:rPr>
                <w:rFonts w:hint="eastAsia" w:ascii="仿宋_GB2312" w:hAnsi="仿宋_GB2312" w:eastAsia="仿宋_GB2312" w:cs="仿宋_GB2312"/>
                <w:bCs/>
                <w:color w:val="000000"/>
                <w:spacing w:val="6"/>
                <w:szCs w:val="28"/>
                <w:lang w:val="en-US"/>
              </w:rPr>
              <w:t>、</w:t>
            </w:r>
            <w:r>
              <w:rPr>
                <w:rFonts w:ascii="仿宋_GB2312" w:hAnsi="仿宋_GB2312" w:eastAsia="仿宋_GB2312" w:cs="仿宋_GB2312"/>
                <w:bCs/>
                <w:color w:val="000000"/>
                <w:spacing w:val="6"/>
                <w:szCs w:val="28"/>
                <w:lang w:val="en-US"/>
              </w:rPr>
              <w:t>CAD</w:t>
            </w:r>
            <w:r>
              <w:rPr>
                <w:rFonts w:hint="eastAsia" w:ascii="仿宋_GB2312" w:hAnsi="仿宋_GB2312" w:eastAsia="仿宋_GB2312" w:cs="仿宋_GB2312"/>
                <w:bCs/>
                <w:color w:val="000000"/>
                <w:spacing w:val="6"/>
                <w:szCs w:val="28"/>
                <w:lang w:val="en-US"/>
              </w:rPr>
              <w:t>、扫描图像等主流图纸数据格式，融合图像智能理解、文本语义分析与结构化知识建模能力，实现图纸内容自动解析、语义检索、自然语言交互、辅助审查、关键信息精准提取，以及跨图纸、跨版本的知识关联与变更追溯。项目成果将显著降低图纸人工整理与检索成本，全面提升图纸全生命周期管理效率与知识复用率，为工业数字化、智能化转型提供关键的智能化基础支撑。</w:t>
            </w:r>
          </w:p>
          <w:p w14:paraId="709F0878">
            <w:pPr>
              <w:ind w:firstLine="0" w:firstLineChars="0"/>
              <w:rPr>
                <w:rFonts w:eastAsia="仿宋_GB2312"/>
                <w:bCs/>
                <w:lang w:val="en-US"/>
              </w:rPr>
            </w:pPr>
          </w:p>
        </w:tc>
      </w:tr>
      <w:tr w14:paraId="2EED09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0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EF4DB0B">
            <w:pPr>
              <w:spacing w:line="560" w:lineRule="exact"/>
              <w:ind w:firstLine="0" w:firstLineChars="0"/>
              <w:jc w:val="center"/>
              <w:rPr>
                <w:rFonts w:eastAsia="楷体_GB2312"/>
              </w:rPr>
            </w:pPr>
            <w:r>
              <w:rPr>
                <w:rFonts w:hint="eastAsia" w:ascii="楷体_GB2312" w:hAnsi="楷体_GB2312" w:eastAsia="楷体_GB2312" w:cs="楷体_GB2312"/>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EEF3CDD">
            <w:pPr>
              <w:ind w:firstLine="504"/>
              <w:rPr>
                <w:rFonts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以个人或团队形式参赛均可，每个团队不超过</w:t>
            </w:r>
            <w:r>
              <w:rPr>
                <w:rFonts w:ascii="仿宋_GB2312" w:hAnsi="仿宋_GB2312" w:eastAsia="仿宋_GB2312" w:cs="仿宋_GB2312"/>
                <w:bCs/>
                <w:color w:val="000000"/>
                <w:spacing w:val="6"/>
                <w:szCs w:val="28"/>
                <w:lang w:val="en-US"/>
              </w:rPr>
              <w:t>10</w:t>
            </w:r>
            <w:r>
              <w:rPr>
                <w:rFonts w:hint="eastAsia" w:ascii="仿宋_GB2312" w:hAnsi="仿宋_GB2312" w:eastAsia="仿宋_GB2312" w:cs="仿宋_GB2312"/>
                <w:bCs/>
                <w:color w:val="000000"/>
                <w:spacing w:val="6"/>
                <w:szCs w:val="28"/>
                <w:lang w:val="en-US"/>
              </w:rPr>
              <w:t>人，提交作品方案一份。参赛团队需要设计并实现一个基于多模态大模型的工程数字图纸智能管理系统，</w:t>
            </w:r>
            <w:r>
              <w:rPr>
                <w:rFonts w:ascii="仿宋_GB2312" w:hAnsi="仿宋_GB2312" w:eastAsia="仿宋_GB2312" w:cs="仿宋_GB2312"/>
                <w:bCs/>
                <w:color w:val="000000"/>
                <w:spacing w:val="6"/>
                <w:szCs w:val="28"/>
                <w:lang w:val="en-US"/>
              </w:rPr>
              <w:t>需围绕明确应用场景完成系统原型或关键功能验证，重点解决工程</w:t>
            </w:r>
            <w:r>
              <w:rPr>
                <w:rFonts w:hint="eastAsia" w:ascii="仿宋_GB2312" w:hAnsi="仿宋_GB2312" w:eastAsia="仿宋_GB2312" w:cs="仿宋_GB2312"/>
                <w:bCs/>
                <w:color w:val="000000"/>
                <w:spacing w:val="6"/>
                <w:szCs w:val="28"/>
                <w:lang w:val="en-US"/>
              </w:rPr>
              <w:t>数字</w:t>
            </w:r>
            <w:r>
              <w:rPr>
                <w:rFonts w:ascii="仿宋_GB2312" w:hAnsi="仿宋_GB2312" w:eastAsia="仿宋_GB2312" w:cs="仿宋_GB2312"/>
                <w:bCs/>
                <w:color w:val="000000"/>
                <w:spacing w:val="6"/>
                <w:szCs w:val="28"/>
                <w:lang w:val="en-US"/>
              </w:rPr>
              <w:t>图纸智能理解与应用中的具体问题，形成</w:t>
            </w:r>
            <w:r>
              <w:rPr>
                <w:rFonts w:hint="eastAsia" w:ascii="仿宋_GB2312" w:hAnsi="仿宋_GB2312" w:eastAsia="仿宋_GB2312" w:cs="仿宋_GB2312"/>
                <w:bCs/>
                <w:color w:val="000000"/>
                <w:spacing w:val="6"/>
                <w:szCs w:val="28"/>
                <w:lang w:val="en-US"/>
              </w:rPr>
              <w:t>可部署、</w:t>
            </w:r>
            <w:r>
              <w:rPr>
                <w:rFonts w:ascii="仿宋_GB2312" w:hAnsi="仿宋_GB2312" w:eastAsia="仿宋_GB2312" w:cs="仿宋_GB2312"/>
                <w:bCs/>
                <w:color w:val="000000"/>
                <w:spacing w:val="6"/>
                <w:szCs w:val="28"/>
                <w:lang w:val="en-US"/>
              </w:rPr>
              <w:t>可演示、可推广的技术方案。项目成果应具备清晰的产品形态与应用价值，具有进一步孵化为创业项目的现实条件。</w:t>
            </w:r>
          </w:p>
          <w:p w14:paraId="6D61111C">
            <w:pPr>
              <w:ind w:firstLine="504"/>
              <w:rPr>
                <w:rFonts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提报时间：</w:t>
            </w:r>
            <w:r>
              <w:rPr>
                <w:rFonts w:ascii="仿宋_GB2312" w:hAnsi="仿宋_GB2312" w:eastAsia="仿宋_GB2312" w:cs="仿宋_GB2312"/>
                <w:bCs/>
                <w:color w:val="000000"/>
                <w:spacing w:val="6"/>
                <w:szCs w:val="28"/>
                <w:lang w:val="en-US"/>
              </w:rPr>
              <w:t>2026</w:t>
            </w:r>
            <w:r>
              <w:rPr>
                <w:rFonts w:hint="eastAsia" w:ascii="仿宋_GB2312" w:hAnsi="仿宋_GB2312" w:eastAsia="仿宋_GB2312" w:cs="仿宋_GB2312"/>
                <w:bCs/>
                <w:color w:val="000000"/>
                <w:spacing w:val="6"/>
                <w:szCs w:val="28"/>
                <w:lang w:val="en-US"/>
              </w:rPr>
              <w:t>年</w:t>
            </w:r>
            <w:r>
              <w:rPr>
                <w:rFonts w:ascii="仿宋_GB2312" w:hAnsi="仿宋_GB2312" w:eastAsia="仿宋_GB2312" w:cs="仿宋_GB2312"/>
                <w:bCs/>
                <w:color w:val="000000"/>
                <w:spacing w:val="6"/>
                <w:szCs w:val="28"/>
                <w:lang w:val="en-US"/>
              </w:rPr>
              <w:t>4</w:t>
            </w:r>
            <w:r>
              <w:rPr>
                <w:rFonts w:hint="eastAsia" w:ascii="仿宋_GB2312" w:hAnsi="仿宋_GB2312" w:eastAsia="仿宋_GB2312" w:cs="仿宋_GB2312"/>
                <w:bCs/>
                <w:color w:val="000000"/>
                <w:spacing w:val="6"/>
                <w:szCs w:val="28"/>
                <w:lang w:val="en-US"/>
              </w:rPr>
              <w:t>月</w:t>
            </w:r>
            <w:r>
              <w:rPr>
                <w:rFonts w:ascii="仿宋_GB2312" w:hAnsi="仿宋_GB2312" w:eastAsia="仿宋_GB2312" w:cs="仿宋_GB2312"/>
                <w:bCs/>
                <w:color w:val="000000"/>
                <w:spacing w:val="6"/>
                <w:szCs w:val="28"/>
                <w:lang w:val="en-US"/>
              </w:rPr>
              <w:t>15</w:t>
            </w:r>
            <w:r>
              <w:rPr>
                <w:rFonts w:hint="eastAsia" w:ascii="仿宋_GB2312" w:hAnsi="仿宋_GB2312" w:eastAsia="仿宋_GB2312" w:cs="仿宋_GB2312"/>
                <w:bCs/>
                <w:color w:val="000000"/>
                <w:spacing w:val="6"/>
                <w:szCs w:val="28"/>
                <w:lang w:val="en-US"/>
              </w:rPr>
              <w:t>日</w:t>
            </w:r>
            <w:r>
              <w:rPr>
                <w:rFonts w:ascii="仿宋_GB2312" w:hAnsi="仿宋_GB2312" w:eastAsia="仿宋_GB2312" w:cs="仿宋_GB2312"/>
                <w:bCs/>
                <w:color w:val="000000"/>
                <w:spacing w:val="6"/>
                <w:szCs w:val="28"/>
                <w:lang w:val="en-US"/>
              </w:rPr>
              <w:t>-5</w:t>
            </w:r>
            <w:r>
              <w:rPr>
                <w:rFonts w:hint="eastAsia" w:ascii="仿宋_GB2312" w:hAnsi="仿宋_GB2312" w:eastAsia="仿宋_GB2312" w:cs="仿宋_GB2312"/>
                <w:bCs/>
                <w:color w:val="000000"/>
                <w:spacing w:val="6"/>
                <w:szCs w:val="28"/>
                <w:lang w:val="en-US"/>
              </w:rPr>
              <w:t>月</w:t>
            </w:r>
            <w:r>
              <w:rPr>
                <w:rFonts w:ascii="仿宋_GB2312" w:hAnsi="仿宋_GB2312" w:eastAsia="仿宋_GB2312" w:cs="仿宋_GB2312"/>
                <w:bCs/>
                <w:color w:val="000000"/>
                <w:spacing w:val="6"/>
                <w:szCs w:val="28"/>
                <w:lang w:val="en-US"/>
              </w:rPr>
              <w:t>15</w:t>
            </w:r>
            <w:r>
              <w:rPr>
                <w:rFonts w:hint="eastAsia" w:ascii="仿宋_GB2312" w:hAnsi="仿宋_GB2312" w:eastAsia="仿宋_GB2312" w:cs="仿宋_GB2312"/>
                <w:bCs/>
                <w:color w:val="000000"/>
                <w:spacing w:val="6"/>
                <w:szCs w:val="28"/>
                <w:lang w:val="en-US"/>
              </w:rPr>
              <w:t>日，评选时间暂定</w:t>
            </w:r>
            <w:r>
              <w:rPr>
                <w:rFonts w:ascii="仿宋_GB2312" w:hAnsi="仿宋_GB2312" w:eastAsia="仿宋_GB2312" w:cs="仿宋_GB2312"/>
                <w:bCs/>
                <w:color w:val="000000"/>
                <w:spacing w:val="6"/>
                <w:szCs w:val="28"/>
                <w:lang w:val="en-US"/>
              </w:rPr>
              <w:t>6</w:t>
            </w:r>
            <w:r>
              <w:rPr>
                <w:rFonts w:hint="eastAsia" w:ascii="仿宋_GB2312" w:hAnsi="仿宋_GB2312" w:eastAsia="仿宋_GB2312" w:cs="仿宋_GB2312"/>
                <w:bCs/>
                <w:color w:val="000000"/>
                <w:spacing w:val="6"/>
                <w:szCs w:val="28"/>
                <w:lang w:val="en-US"/>
              </w:rPr>
              <w:t>月</w:t>
            </w:r>
            <w:r>
              <w:rPr>
                <w:rFonts w:ascii="仿宋_GB2312" w:hAnsi="仿宋_GB2312" w:eastAsia="仿宋_GB2312" w:cs="仿宋_GB2312"/>
                <w:bCs/>
                <w:color w:val="000000"/>
                <w:spacing w:val="6"/>
                <w:szCs w:val="28"/>
                <w:lang w:val="en-US"/>
              </w:rPr>
              <w:t xml:space="preserve">, </w:t>
            </w:r>
            <w:r>
              <w:rPr>
                <w:rFonts w:hint="eastAsia" w:ascii="仿宋_GB2312" w:hAnsi="仿宋_GB2312" w:eastAsia="仿宋_GB2312" w:cs="仿宋_GB2312"/>
                <w:bCs/>
                <w:color w:val="000000"/>
                <w:spacing w:val="6"/>
                <w:szCs w:val="28"/>
                <w:lang w:val="en-US"/>
              </w:rPr>
              <w:t>提报要求：作品方案需阐明团队简介、技术来源、技术路线、技术创新、技术优势、技术预期实现效益及技术可应用性等。评选标准</w:t>
            </w:r>
            <w:r>
              <w:rPr>
                <w:rFonts w:hint="eastAsia" w:ascii="仿宋_GB2312" w:hAnsi="仿宋_GB2312" w:eastAsia="仿宋_GB2312" w:cs="仿宋_GB2312"/>
                <w:bCs/>
                <w:color w:val="000000"/>
                <w:spacing w:val="6"/>
                <w:szCs w:val="28"/>
                <w:lang w:val="en-US" w:eastAsia="zh-CN"/>
              </w:rPr>
              <w:t>：</w:t>
            </w:r>
            <w:r>
              <w:rPr>
                <w:rFonts w:ascii="仿宋_GB2312" w:hAnsi="仿宋_GB2312" w:eastAsia="仿宋_GB2312" w:cs="仿宋_GB2312"/>
                <w:bCs/>
                <w:color w:val="000000"/>
                <w:spacing w:val="6"/>
                <w:szCs w:val="28"/>
                <w:lang w:val="en-US"/>
              </w:rPr>
              <w:t xml:space="preserve"> </w:t>
            </w:r>
            <w:r>
              <w:rPr>
                <w:rFonts w:hint="eastAsia" w:ascii="仿宋_GB2312" w:hAnsi="仿宋_GB2312" w:eastAsia="仿宋_GB2312" w:cs="仿宋_GB2312"/>
                <w:bCs/>
                <w:color w:val="000000"/>
                <w:spacing w:val="6"/>
                <w:szCs w:val="28"/>
                <w:lang w:val="en-US"/>
              </w:rPr>
              <w:t>通过</w:t>
            </w:r>
            <w:r>
              <w:rPr>
                <w:rFonts w:ascii="仿宋_GB2312" w:hAnsi="仿宋_GB2312" w:eastAsia="仿宋_GB2312" w:cs="仿宋_GB2312"/>
                <w:bCs/>
                <w:color w:val="000000"/>
                <w:spacing w:val="6"/>
                <w:szCs w:val="28"/>
                <w:lang w:val="en-US"/>
              </w:rPr>
              <w:t>PPT</w:t>
            </w:r>
            <w:r>
              <w:rPr>
                <w:rFonts w:hint="eastAsia" w:ascii="仿宋_GB2312" w:hAnsi="仿宋_GB2312" w:eastAsia="仿宋_GB2312" w:cs="仿宋_GB2312"/>
                <w:bCs/>
                <w:color w:val="000000"/>
                <w:spacing w:val="6"/>
                <w:szCs w:val="28"/>
                <w:lang w:val="en-US"/>
              </w:rPr>
              <w:t>答辩形式进行线下或线上评选，由评审专家从技术创新性、技术预期效益、技术可应用性及团队实力等方面进行评选。</w:t>
            </w:r>
          </w:p>
        </w:tc>
      </w:tr>
      <w:tr w14:paraId="32FD8A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05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7F757A">
            <w:pPr>
              <w:overflowPunct w:val="0"/>
              <w:ind w:firstLine="0" w:firstLineChars="0"/>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作品评审</w:t>
            </w:r>
          </w:p>
          <w:p w14:paraId="07393D9C">
            <w:pPr>
              <w:overflowPunct w:val="0"/>
              <w:ind w:firstLine="0" w:firstLineChars="0"/>
              <w:jc w:val="center"/>
              <w:rPr>
                <w:rFonts w:eastAsia="楷体_GB2312"/>
              </w:rPr>
            </w:pPr>
            <w:r>
              <w:rPr>
                <w:rFonts w:hint="eastAsia" w:ascii="楷体_GB2312" w:hAnsi="楷体_GB2312" w:eastAsia="楷体_GB2312" w:cs="楷体_GB2312"/>
                <w:color w:val="000000"/>
                <w:sz w:val="28"/>
                <w:szCs w:val="28"/>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95B6ED">
            <w:pPr>
              <w:ind w:firstLine="0" w:firstLineChars="0"/>
              <w:rPr>
                <w:rFonts w:eastAsia="仿宋_GB2312"/>
                <w:lang w:val="en-US"/>
              </w:rPr>
            </w:pPr>
          </w:p>
          <w:p w14:paraId="79FC6118">
            <w:pPr>
              <w:ind w:firstLine="0" w:firstLineChars="0"/>
              <w:rPr>
                <w:rFonts w:eastAsia="仿宋_GB2312"/>
                <w:lang w:val="en-US"/>
              </w:rPr>
            </w:pPr>
            <w:r>
              <w:rPr>
                <w:rFonts w:eastAsia="仿宋_GB2312"/>
                <w:lang w:val="en-US"/>
              </w:rPr>
              <w:t xml:space="preserve">1. </w:t>
            </w:r>
            <w:r>
              <w:rPr>
                <w:rFonts w:hint="eastAsia" w:eastAsia="仿宋_GB2312"/>
                <w:lang w:val="en-US"/>
              </w:rPr>
              <w:t>作品完整性：</w:t>
            </w:r>
            <w:r>
              <w:rPr>
                <w:rFonts w:eastAsia="仿宋_GB2312"/>
                <w:lang w:val="en-US"/>
              </w:rPr>
              <w:t xml:space="preserve">40 </w:t>
            </w:r>
            <w:r>
              <w:rPr>
                <w:rFonts w:hint="eastAsia" w:eastAsia="仿宋_GB2312"/>
                <w:lang w:val="en-US"/>
              </w:rPr>
              <w:t>分</w:t>
            </w:r>
          </w:p>
          <w:p w14:paraId="20F7E02C">
            <w:pPr>
              <w:rPr>
                <w:rFonts w:eastAsia="仿宋_GB2312"/>
                <w:lang w:val="en-US"/>
              </w:rPr>
            </w:pPr>
            <w:r>
              <w:rPr>
                <w:rFonts w:hint="eastAsia" w:eastAsia="仿宋_GB2312"/>
                <w:lang w:val="en-US"/>
              </w:rPr>
              <w:t>独立研发并完成基于多模态大模型的工程数字图纸智能管理系统，功能完整可用，为</w:t>
            </w:r>
            <w:r>
              <w:rPr>
                <w:rFonts w:eastAsia="仿宋_GB2312"/>
                <w:lang w:val="en-US"/>
              </w:rPr>
              <w:t xml:space="preserve">40 </w:t>
            </w:r>
            <w:r>
              <w:rPr>
                <w:rFonts w:hint="eastAsia" w:eastAsia="仿宋_GB2312"/>
                <w:lang w:val="en-US"/>
              </w:rPr>
              <w:t>分。如未完成，按照完成比例给予评定，最多不超过</w:t>
            </w:r>
            <w:r>
              <w:rPr>
                <w:rFonts w:eastAsia="仿宋_GB2312"/>
                <w:lang w:val="en-US"/>
              </w:rPr>
              <w:t xml:space="preserve">20 </w:t>
            </w:r>
            <w:r>
              <w:rPr>
                <w:rFonts w:hint="eastAsia" w:eastAsia="仿宋_GB2312"/>
                <w:lang w:val="en-US"/>
              </w:rPr>
              <w:t>分。</w:t>
            </w:r>
          </w:p>
          <w:p w14:paraId="605FCEAD">
            <w:pPr>
              <w:ind w:firstLine="0" w:firstLineChars="0"/>
              <w:rPr>
                <w:rFonts w:eastAsia="仿宋_GB2312"/>
                <w:lang w:val="en-US"/>
              </w:rPr>
            </w:pPr>
            <w:r>
              <w:rPr>
                <w:rFonts w:eastAsia="仿宋_GB2312"/>
                <w:lang w:val="en-US"/>
              </w:rPr>
              <w:t xml:space="preserve">2. </w:t>
            </w:r>
            <w:r>
              <w:rPr>
                <w:rFonts w:hint="eastAsia" w:eastAsia="仿宋_GB2312"/>
                <w:lang w:val="en-US"/>
              </w:rPr>
              <w:t>系统性能：</w:t>
            </w:r>
            <w:r>
              <w:rPr>
                <w:rFonts w:eastAsia="仿宋_GB2312"/>
                <w:lang w:val="en-US"/>
              </w:rPr>
              <w:t xml:space="preserve">30 </w:t>
            </w:r>
            <w:r>
              <w:rPr>
                <w:rFonts w:hint="eastAsia" w:eastAsia="仿宋_GB2312"/>
                <w:lang w:val="en-US"/>
              </w:rPr>
              <w:t>分</w:t>
            </w:r>
          </w:p>
          <w:p w14:paraId="52D8B322">
            <w:pPr>
              <w:rPr>
                <w:rFonts w:eastAsia="仿宋_GB2312"/>
                <w:lang w:val="en-US"/>
              </w:rPr>
            </w:pPr>
            <w:r>
              <w:rPr>
                <w:rFonts w:hint="eastAsia" w:eastAsia="仿宋_GB2312"/>
                <w:lang w:val="en-US"/>
              </w:rPr>
              <w:t>根据系统识别准确率、召回率，处理速度和效率，综合评定</w:t>
            </w:r>
            <w:r>
              <w:rPr>
                <w:rFonts w:eastAsia="仿宋_GB2312"/>
                <w:lang w:val="en-US"/>
              </w:rPr>
              <w:t xml:space="preserve">0-30 </w:t>
            </w:r>
            <w:r>
              <w:rPr>
                <w:rFonts w:hint="eastAsia" w:eastAsia="仿宋_GB2312"/>
                <w:lang w:val="en-US"/>
              </w:rPr>
              <w:t>分。</w:t>
            </w:r>
          </w:p>
          <w:p w14:paraId="5E5D0434">
            <w:pPr>
              <w:ind w:firstLine="0" w:firstLineChars="0"/>
              <w:rPr>
                <w:rFonts w:eastAsia="仿宋_GB2312"/>
                <w:lang w:val="en-US"/>
              </w:rPr>
            </w:pPr>
            <w:r>
              <w:rPr>
                <w:rFonts w:eastAsia="仿宋_GB2312"/>
                <w:lang w:val="en-US"/>
              </w:rPr>
              <w:t xml:space="preserve">3. </w:t>
            </w:r>
            <w:r>
              <w:rPr>
                <w:rFonts w:hint="eastAsia" w:eastAsia="仿宋_GB2312"/>
                <w:lang w:val="en-US"/>
              </w:rPr>
              <w:t>技术创新性：</w:t>
            </w:r>
            <w:r>
              <w:rPr>
                <w:rFonts w:eastAsia="仿宋_GB2312"/>
                <w:lang w:val="en-US"/>
              </w:rPr>
              <w:t xml:space="preserve">20 </w:t>
            </w:r>
            <w:r>
              <w:rPr>
                <w:rFonts w:hint="eastAsia" w:eastAsia="仿宋_GB2312"/>
                <w:lang w:val="en-US"/>
              </w:rPr>
              <w:t>分</w:t>
            </w:r>
          </w:p>
          <w:p w14:paraId="43CB2F46">
            <w:pPr>
              <w:rPr>
                <w:rFonts w:eastAsia="仿宋_GB2312"/>
                <w:lang w:val="en-US"/>
              </w:rPr>
            </w:pPr>
            <w:r>
              <w:rPr>
                <w:rFonts w:hint="eastAsia" w:eastAsia="仿宋_GB2312"/>
                <w:lang w:val="en-US"/>
              </w:rPr>
              <w:t>考量作品在系统设计、数据处理、策略开发、多模态大模型技术应用等方面的创新点，综合评定</w:t>
            </w:r>
            <w:r>
              <w:rPr>
                <w:rFonts w:eastAsia="仿宋_GB2312"/>
                <w:lang w:val="en-US"/>
              </w:rPr>
              <w:t xml:space="preserve">0-20 </w:t>
            </w:r>
            <w:r>
              <w:rPr>
                <w:rFonts w:hint="eastAsia" w:eastAsia="仿宋_GB2312"/>
                <w:lang w:val="en-US"/>
              </w:rPr>
              <w:t>分。</w:t>
            </w:r>
          </w:p>
          <w:p w14:paraId="377A21F2">
            <w:pPr>
              <w:ind w:firstLine="0" w:firstLineChars="0"/>
              <w:rPr>
                <w:rFonts w:eastAsia="仿宋_GB2312"/>
                <w:lang w:val="en-US"/>
              </w:rPr>
            </w:pPr>
            <w:r>
              <w:rPr>
                <w:rFonts w:eastAsia="仿宋_GB2312"/>
                <w:lang w:val="en-US"/>
              </w:rPr>
              <w:t xml:space="preserve">4. </w:t>
            </w:r>
            <w:r>
              <w:rPr>
                <w:rFonts w:hint="eastAsia" w:eastAsia="仿宋_GB2312"/>
                <w:lang w:val="en-US"/>
              </w:rPr>
              <w:t>实用性和应用前景：</w:t>
            </w:r>
            <w:r>
              <w:rPr>
                <w:rFonts w:eastAsia="仿宋_GB2312"/>
                <w:lang w:val="en-US"/>
              </w:rPr>
              <w:t xml:space="preserve">10 </w:t>
            </w:r>
            <w:r>
              <w:rPr>
                <w:rFonts w:hint="eastAsia" w:eastAsia="仿宋_GB2312"/>
                <w:lang w:val="en-US"/>
              </w:rPr>
              <w:t>分</w:t>
            </w:r>
          </w:p>
          <w:p w14:paraId="44E94962">
            <w:pPr>
              <w:rPr>
                <w:rFonts w:eastAsia="仿宋_GB2312"/>
                <w:lang w:val="en-US"/>
              </w:rPr>
            </w:pPr>
            <w:r>
              <w:rPr>
                <w:rFonts w:hint="eastAsia" w:eastAsia="仿宋_GB2312"/>
                <w:lang w:val="en-US"/>
              </w:rPr>
              <w:t>根据系统在实际场景中的应用价值，系统部署和维护的成本效益比进行打分，综合评定</w:t>
            </w:r>
            <w:r>
              <w:rPr>
                <w:rFonts w:eastAsia="仿宋_GB2312"/>
                <w:lang w:val="en-US"/>
              </w:rPr>
              <w:t xml:space="preserve">0-10 </w:t>
            </w:r>
            <w:r>
              <w:rPr>
                <w:rFonts w:hint="eastAsia" w:eastAsia="仿宋_GB2312"/>
                <w:lang w:val="en-US"/>
              </w:rPr>
              <w:t>分。</w:t>
            </w:r>
          </w:p>
          <w:p w14:paraId="5BDD3C17">
            <w:pPr>
              <w:rPr>
                <w:rFonts w:eastAsia="仿宋_GB2312"/>
                <w:lang w:val="en-US"/>
              </w:rPr>
            </w:pPr>
          </w:p>
        </w:tc>
      </w:tr>
      <w:tr w14:paraId="0F99CE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4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43F4A6F">
            <w:pPr>
              <w:rPr>
                <w:rFonts w:eastAsia="楷体_GB2312"/>
              </w:rPr>
            </w:pPr>
            <w:r>
              <w:rPr>
                <w:rFonts w:hint="eastAsia" w:eastAsia="楷体_GB2312"/>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603B5F4">
            <w:pPr>
              <w:ind w:firstLine="504"/>
              <w:rPr>
                <w:rFonts w:eastAsia="仿宋_GB2312"/>
                <w:bCs/>
                <w:spacing w:val="6"/>
                <w:szCs w:val="28"/>
              </w:rPr>
            </w:pPr>
            <w:r>
              <w:rPr>
                <w:rFonts w:hint="eastAsia" w:eastAsia="仿宋_GB2312"/>
                <w:bCs/>
                <w:spacing w:val="6"/>
                <w:szCs w:val="28"/>
              </w:rPr>
              <w:t>无。</w:t>
            </w:r>
          </w:p>
        </w:tc>
      </w:tr>
    </w:tbl>
    <w:p w14:paraId="440CF405">
      <w:pPr>
        <w:rPr>
          <w:rFonts w:eastAsia="方正黑体简体"/>
          <w:sz w:val="32"/>
          <w:szCs w:val="32"/>
        </w:rPr>
      </w:pPr>
      <w:r>
        <w:rPr>
          <w:rFonts w:hint="eastAsia" w:eastAsia="方正黑体简体"/>
          <w:sz w:val="32"/>
          <w:szCs w:val="32"/>
        </w:rPr>
        <w:t>三、激励保障</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63698F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2414"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31CBD60">
            <w:pPr>
              <w:spacing w:line="560" w:lineRule="exact"/>
              <w:ind w:firstLine="0" w:firstLineChars="0"/>
              <w:jc w:val="center"/>
              <w:rPr>
                <w:rFonts w:eastAsia="楷体_GB2312"/>
              </w:rPr>
            </w:pPr>
            <w:r>
              <w:rPr>
                <w:rFonts w:hint="eastAsia" w:ascii="楷体_GB2312" w:hAnsi="楷体_GB2312" w:eastAsia="楷体_GB2312" w:cs="楷体_GB2312"/>
                <w:color w:val="000000"/>
                <w:sz w:val="28"/>
                <w:szCs w:val="28"/>
              </w:rPr>
              <w:t>保障措施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FF62163">
            <w:pPr>
              <w:ind w:firstLine="504"/>
              <w:jc w:val="both"/>
              <w:rPr>
                <w:rFonts w:ascii="仿宋_GB2312" w:hAnsi="仿宋_GB2312" w:eastAsia="仿宋_GB2312" w:cs="仿宋_GB2312"/>
                <w:bCs/>
                <w:color w:val="000000"/>
                <w:spacing w:val="6"/>
                <w:szCs w:val="28"/>
              </w:rPr>
            </w:pPr>
            <w:r>
              <w:rPr>
                <w:rFonts w:ascii="仿宋_GB2312" w:hAnsi="仿宋_GB2312" w:eastAsia="仿宋_GB2312" w:cs="仿宋_GB2312"/>
                <w:bCs/>
                <w:color w:val="000000"/>
                <w:spacing w:val="6"/>
                <w:szCs w:val="28"/>
              </w:rPr>
              <w:t>2026</w:t>
            </w:r>
            <w:r>
              <w:rPr>
                <w:rFonts w:hint="eastAsia" w:ascii="仿宋_GB2312" w:hAnsi="仿宋_GB2312" w:eastAsia="仿宋_GB2312" w:cs="仿宋_GB2312"/>
                <w:bCs/>
                <w:color w:val="000000"/>
                <w:spacing w:val="6"/>
                <w:szCs w:val="28"/>
              </w:rPr>
              <w:t>年</w:t>
            </w:r>
            <w:r>
              <w:rPr>
                <w:rFonts w:ascii="仿宋_GB2312" w:hAnsi="仿宋_GB2312" w:eastAsia="仿宋_GB2312" w:cs="仿宋_GB2312"/>
                <w:bCs/>
                <w:color w:val="000000"/>
                <w:spacing w:val="6"/>
                <w:szCs w:val="28"/>
              </w:rPr>
              <w:t>4</w:t>
            </w:r>
            <w:r>
              <w:rPr>
                <w:rFonts w:hint="eastAsia" w:ascii="仿宋_GB2312" w:hAnsi="仿宋_GB2312" w:eastAsia="仿宋_GB2312" w:cs="仿宋_GB2312"/>
                <w:bCs/>
                <w:color w:val="000000"/>
                <w:spacing w:val="6"/>
                <w:szCs w:val="28"/>
              </w:rPr>
              <w:t>月</w:t>
            </w:r>
            <w:r>
              <w:rPr>
                <w:rFonts w:ascii="仿宋_GB2312" w:hAnsi="仿宋_GB2312" w:eastAsia="仿宋_GB2312" w:cs="仿宋_GB2312"/>
                <w:bCs/>
                <w:color w:val="000000"/>
                <w:spacing w:val="6"/>
                <w:szCs w:val="28"/>
              </w:rPr>
              <w:t>-5</w:t>
            </w:r>
            <w:r>
              <w:rPr>
                <w:rFonts w:hint="eastAsia" w:ascii="仿宋_GB2312" w:hAnsi="仿宋_GB2312" w:eastAsia="仿宋_GB2312" w:cs="仿宋_GB2312"/>
                <w:bCs/>
                <w:color w:val="000000"/>
                <w:spacing w:val="6"/>
                <w:szCs w:val="28"/>
              </w:rPr>
              <w:t>月期间，可为参赛团队集中组织</w:t>
            </w:r>
            <w:r>
              <w:rPr>
                <w:rFonts w:ascii="仿宋_GB2312" w:hAnsi="仿宋_GB2312" w:eastAsia="仿宋_GB2312" w:cs="仿宋_GB2312"/>
                <w:bCs/>
                <w:color w:val="000000"/>
                <w:spacing w:val="6"/>
                <w:szCs w:val="28"/>
              </w:rPr>
              <w:t>1</w:t>
            </w:r>
            <w:r>
              <w:rPr>
                <w:rFonts w:hint="eastAsia" w:ascii="仿宋_GB2312" w:hAnsi="仿宋_GB2312" w:eastAsia="仿宋_GB2312" w:cs="仿宋_GB2312"/>
                <w:bCs/>
                <w:color w:val="000000"/>
                <w:spacing w:val="6"/>
                <w:szCs w:val="28"/>
              </w:rPr>
              <w:t>次线上技术交流沟通会，帮助参赛团队更好的了解参赛题目，线下随时沟通</w:t>
            </w:r>
            <w:r>
              <w:rPr>
                <w:rFonts w:hint="eastAsia" w:ascii="仿宋_GB2312" w:hAnsi="仿宋_GB2312" w:eastAsia="仿宋_GB2312" w:cs="仿宋_GB2312"/>
                <w:bCs/>
                <w:color w:val="000000"/>
                <w:spacing w:val="6"/>
                <w:szCs w:val="28"/>
                <w:lang w:eastAsia="zh-CN"/>
              </w:rPr>
              <w:t>；</w:t>
            </w:r>
            <w:r>
              <w:rPr>
                <w:rFonts w:hint="eastAsia" w:ascii="仿宋_GB2312" w:hAnsi="仿宋_GB2312" w:eastAsia="仿宋_GB2312" w:cs="仿宋_GB2312"/>
                <w:bCs/>
                <w:color w:val="000000"/>
                <w:spacing w:val="6"/>
                <w:szCs w:val="28"/>
              </w:rPr>
              <w:t>可为参赛团队代表集中组织</w:t>
            </w:r>
            <w:r>
              <w:rPr>
                <w:rFonts w:ascii="仿宋_GB2312" w:hAnsi="仿宋_GB2312" w:eastAsia="仿宋_GB2312" w:cs="仿宋_GB2312"/>
                <w:bCs/>
                <w:color w:val="000000"/>
                <w:spacing w:val="6"/>
                <w:szCs w:val="28"/>
              </w:rPr>
              <w:t>1</w:t>
            </w:r>
            <w:r>
              <w:rPr>
                <w:rFonts w:hint="eastAsia" w:ascii="仿宋_GB2312" w:hAnsi="仿宋_GB2312" w:eastAsia="仿宋_GB2312" w:cs="仿宋_GB2312"/>
                <w:bCs/>
                <w:color w:val="000000"/>
                <w:spacing w:val="6"/>
                <w:szCs w:val="28"/>
              </w:rPr>
              <w:t>次3人以内的现场参观交流机会（交通食宿自理），帮助参赛团队切身了解现场需求</w:t>
            </w:r>
            <w:r>
              <w:rPr>
                <w:rFonts w:hint="eastAsia" w:ascii="仿宋_GB2312" w:hAnsi="仿宋_GB2312" w:eastAsia="仿宋_GB2312" w:cs="仿宋_GB2312"/>
                <w:bCs/>
                <w:color w:val="000000"/>
                <w:spacing w:val="6"/>
                <w:szCs w:val="28"/>
                <w:lang w:eastAsia="zh-CN"/>
              </w:rPr>
              <w:t>；</w:t>
            </w:r>
            <w:r>
              <w:rPr>
                <w:rFonts w:hint="eastAsia" w:ascii="仿宋_GB2312" w:hAnsi="仿宋_GB2312" w:eastAsia="仿宋_GB2312" w:cs="仿宋_GB2312"/>
                <w:bCs/>
                <w:color w:val="000000"/>
                <w:spacing w:val="6"/>
                <w:szCs w:val="28"/>
              </w:rPr>
              <w:t>整个参赛期间，为参赛团队提供专门指导人员，解答及帮助其协调参赛过程的相关问题。</w:t>
            </w:r>
          </w:p>
          <w:p w14:paraId="4D4E5F26">
            <w:pPr>
              <w:rPr>
                <w:rFonts w:eastAsia="仿宋_GB2312"/>
              </w:rPr>
            </w:pPr>
          </w:p>
        </w:tc>
      </w:tr>
      <w:tr w14:paraId="064389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636"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F2F1F9D">
            <w:pPr>
              <w:spacing w:line="560" w:lineRule="exact"/>
              <w:ind w:firstLine="0" w:firstLineChars="0"/>
              <w:jc w:val="center"/>
              <w:rPr>
                <w:rFonts w:eastAsia="楷体_GB2312"/>
              </w:rPr>
            </w:pPr>
            <w:r>
              <w:rPr>
                <w:rFonts w:hint="eastAsia" w:ascii="楷体_GB2312" w:hAnsi="楷体_GB2312" w:eastAsia="楷体_GB2312" w:cs="楷体_GB2312"/>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BC560CB">
            <w:pPr>
              <w:ind w:firstLine="504"/>
              <w:jc w:val="both"/>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一、奖项设置</w:t>
            </w:r>
          </w:p>
          <w:p w14:paraId="738A165E">
            <w:pPr>
              <w:ind w:firstLine="504"/>
              <w:jc w:val="both"/>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lang w:eastAsia="zh-CN"/>
              </w:rPr>
              <w:t>原则上设“擂主”团队1个，</w:t>
            </w:r>
            <w:r>
              <w:rPr>
                <w:rFonts w:hint="eastAsia" w:ascii="仿宋_GB2312" w:hAnsi="仿宋_GB2312" w:eastAsia="仿宋_GB2312" w:cs="仿宋_GB2312"/>
                <w:bCs/>
                <w:color w:val="000000"/>
                <w:spacing w:val="6"/>
                <w:szCs w:val="28"/>
              </w:rPr>
              <w:t>根据实际情况评出相应的特等奖、一等奖、二等奖、三等奖项目若干。</w:t>
            </w:r>
          </w:p>
          <w:p w14:paraId="58E3CC33">
            <w:pPr>
              <w:ind w:firstLine="504"/>
              <w:jc w:val="both"/>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二、奖励措施</w:t>
            </w:r>
          </w:p>
          <w:p w14:paraId="28A36946">
            <w:pPr>
              <w:ind w:firstLine="504"/>
              <w:jc w:val="both"/>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1.特等奖</w:t>
            </w:r>
            <w:r>
              <w:rPr>
                <w:rFonts w:hint="eastAsia" w:ascii="仿宋_GB2312" w:hAnsi="仿宋_GB2312" w:eastAsia="仿宋_GB2312" w:cs="仿宋_GB2312"/>
                <w:bCs/>
                <w:color w:val="000000"/>
                <w:spacing w:val="6"/>
                <w:szCs w:val="28"/>
                <w:lang w:eastAsia="zh-CN"/>
              </w:rPr>
              <w:t>：</w:t>
            </w:r>
            <w:r>
              <w:rPr>
                <w:rFonts w:hint="eastAsia" w:ascii="仿宋_GB2312" w:hAnsi="仿宋_GB2312" w:eastAsia="仿宋_GB2312" w:cs="仿宋_GB2312"/>
                <w:bCs/>
                <w:color w:val="000000"/>
                <w:spacing w:val="6"/>
                <w:szCs w:val="28"/>
              </w:rPr>
              <w:t>为每个获奖团队提供2个带薪实习机会</w:t>
            </w:r>
            <w:r>
              <w:rPr>
                <w:rFonts w:hint="eastAsia" w:ascii="仿宋_GB2312" w:hAnsi="仿宋_GB2312" w:eastAsia="仿宋_GB2312" w:cs="仿宋_GB2312"/>
                <w:bCs/>
                <w:color w:val="000000"/>
                <w:spacing w:val="6"/>
                <w:szCs w:val="28"/>
                <w:lang w:eastAsia="zh-CN"/>
              </w:rPr>
              <w:t>；</w:t>
            </w:r>
          </w:p>
          <w:p w14:paraId="4D680291">
            <w:pPr>
              <w:ind w:firstLine="504"/>
              <w:jc w:val="both"/>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2.“擂主”团队奖励：签订产学研合作协议，提供2个入职面试机会，面试通过后可获得进入航天系统工作机会。</w:t>
            </w:r>
          </w:p>
          <w:p w14:paraId="71C20257">
            <w:pPr>
              <w:ind w:firstLine="504"/>
              <w:jc w:val="both"/>
              <w:rPr>
                <w:rFonts w:eastAsia="华文楷体"/>
              </w:rPr>
            </w:pPr>
            <w:r>
              <w:rPr>
                <w:rFonts w:hint="eastAsia" w:ascii="仿宋_GB2312" w:hAnsi="仿宋_GB2312" w:eastAsia="仿宋_GB2312" w:cs="仿宋_GB2312"/>
                <w:bCs/>
                <w:color w:val="000000"/>
                <w:spacing w:val="6"/>
                <w:szCs w:val="28"/>
              </w:rPr>
              <w:t>3.一等奖、二等奖、三等奖团队，表现优异者可获得求职“绿色通道”。</w:t>
            </w:r>
          </w:p>
        </w:tc>
      </w:tr>
    </w:tbl>
    <w:p w14:paraId="75C80D35">
      <w:pPr>
        <w:rPr>
          <w:rFonts w:hint="eastAsia" w:eastAsia="方正黑体简体"/>
          <w:sz w:val="32"/>
          <w:szCs w:val="32"/>
          <w:lang w:val="en-US"/>
        </w:rPr>
      </w:pPr>
    </w:p>
    <w:p w14:paraId="63317BA3">
      <w:pPr>
        <w:rPr>
          <w:rFonts w:hint="eastAsia" w:eastAsia="方正黑体简体"/>
          <w:sz w:val="32"/>
          <w:szCs w:val="32"/>
          <w:lang w:val="en-US"/>
        </w:rPr>
      </w:pPr>
    </w:p>
    <w:p w14:paraId="1D3B143C">
      <w:pPr>
        <w:rPr>
          <w:rFonts w:hint="eastAsia" w:eastAsia="方正黑体简体"/>
          <w:sz w:val="32"/>
          <w:szCs w:val="32"/>
          <w:lang w:val="en-US"/>
        </w:rPr>
      </w:pPr>
    </w:p>
    <w:p w14:paraId="3707BA56">
      <w:pPr>
        <w:rPr>
          <w:rFonts w:eastAsia="方正黑体简体"/>
          <w:sz w:val="32"/>
          <w:szCs w:val="32"/>
          <w:lang w:val="en-US"/>
        </w:rPr>
      </w:pPr>
      <w:r>
        <w:rPr>
          <w:rFonts w:hint="eastAsia" w:eastAsia="方正黑体简体"/>
          <w:sz w:val="32"/>
          <w:szCs w:val="32"/>
          <w:lang w:val="en-US"/>
        </w:rPr>
        <w:t>四、选题意义</w:t>
      </w:r>
    </w:p>
    <w:tbl>
      <w:tblPr>
        <w:tblStyle w:val="1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09DC8D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5571EF5B">
            <w:pPr>
              <w:overflowPunct w:val="0"/>
              <w:ind w:firstLine="0" w:firstLineChars="0"/>
              <w:jc w:val="center"/>
              <w:rPr>
                <w:rFonts w:eastAsia="楷体_GB2312"/>
              </w:rPr>
            </w:pPr>
            <w:r>
              <w:rPr>
                <w:rFonts w:hint="eastAsia" w:ascii="楷体_GB2312" w:hAnsi="楷体_GB2312" w:eastAsia="楷体_GB2312" w:cs="楷体_GB2312"/>
                <w:color w:val="000000"/>
                <w:sz w:val="28"/>
                <w:szCs w:val="28"/>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B42F51">
            <w:pPr>
              <w:overflowPunct w:val="0"/>
              <w:ind w:firstLine="504"/>
              <w:rPr>
                <w:rFonts w:ascii="仿宋_GB2312" w:hAnsi="仿宋_GB2312" w:eastAsia="仿宋_GB2312" w:cs="仿宋_GB2312"/>
                <w:bCs/>
                <w:color w:val="000000"/>
                <w:spacing w:val="6"/>
                <w:szCs w:val="28"/>
              </w:rPr>
            </w:pPr>
          </w:p>
          <w:p w14:paraId="76058D7C">
            <w:pPr>
              <w:overflowPunct w:val="0"/>
              <w:ind w:firstLine="504"/>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面向工程领域数字图纸智能理解这一共性难题，探索多模态大模型在工程图纸解析、语义建模与智能推理中的应用方法，有助于突破传统图纸管理系统仅具备存储与展示功能、缺乏语义理解与智能分析能力的技术瓶颈。通过引入多模态感知、语义融合与智能交互技术，推动工程数字图纸从</w:t>
            </w:r>
            <w:r>
              <w:rPr>
                <w:rFonts w:ascii="仿宋_GB2312" w:hAnsi="仿宋_GB2312" w:eastAsia="仿宋_GB2312" w:cs="仿宋_GB2312"/>
                <w:bCs/>
                <w:color w:val="000000"/>
                <w:spacing w:val="6"/>
                <w:szCs w:val="28"/>
              </w:rPr>
              <w:t>“</w:t>
            </w:r>
            <w:r>
              <w:rPr>
                <w:rFonts w:hint="eastAsia" w:ascii="仿宋_GB2312" w:hAnsi="仿宋_GB2312" w:eastAsia="仿宋_GB2312" w:cs="仿宋_GB2312"/>
                <w:bCs/>
                <w:color w:val="000000"/>
                <w:spacing w:val="6"/>
                <w:szCs w:val="28"/>
              </w:rPr>
              <w:t>被动管理</w:t>
            </w:r>
            <w:r>
              <w:rPr>
                <w:rFonts w:ascii="仿宋_GB2312" w:hAnsi="仿宋_GB2312" w:eastAsia="仿宋_GB2312" w:cs="仿宋_GB2312"/>
                <w:bCs/>
                <w:color w:val="000000"/>
                <w:spacing w:val="6"/>
                <w:szCs w:val="28"/>
              </w:rPr>
              <w:t>”</w:t>
            </w:r>
            <w:r>
              <w:rPr>
                <w:rFonts w:hint="eastAsia" w:ascii="仿宋_GB2312" w:hAnsi="仿宋_GB2312" w:eastAsia="仿宋_GB2312" w:cs="仿宋_GB2312"/>
                <w:bCs/>
                <w:color w:val="000000"/>
                <w:spacing w:val="6"/>
                <w:szCs w:val="28"/>
              </w:rPr>
              <w:t>向</w:t>
            </w:r>
            <w:r>
              <w:rPr>
                <w:rFonts w:ascii="仿宋_GB2312" w:hAnsi="仿宋_GB2312" w:eastAsia="仿宋_GB2312" w:cs="仿宋_GB2312"/>
                <w:bCs/>
                <w:color w:val="000000"/>
                <w:spacing w:val="6"/>
                <w:szCs w:val="28"/>
              </w:rPr>
              <w:t>“</w:t>
            </w:r>
            <w:r>
              <w:rPr>
                <w:rFonts w:hint="eastAsia" w:ascii="仿宋_GB2312" w:hAnsi="仿宋_GB2312" w:eastAsia="仿宋_GB2312" w:cs="仿宋_GB2312"/>
                <w:bCs/>
                <w:color w:val="000000"/>
                <w:spacing w:val="6"/>
                <w:szCs w:val="28"/>
              </w:rPr>
              <w:t>主动理解与辅助决策</w:t>
            </w:r>
            <w:r>
              <w:rPr>
                <w:rFonts w:ascii="仿宋_GB2312" w:hAnsi="仿宋_GB2312" w:eastAsia="仿宋_GB2312" w:cs="仿宋_GB2312"/>
                <w:bCs/>
                <w:color w:val="000000"/>
                <w:spacing w:val="6"/>
                <w:szCs w:val="28"/>
              </w:rPr>
              <w:t>”</w:t>
            </w:r>
            <w:r>
              <w:rPr>
                <w:rFonts w:hint="eastAsia" w:ascii="仿宋_GB2312" w:hAnsi="仿宋_GB2312" w:eastAsia="仿宋_GB2312" w:cs="仿宋_GB2312"/>
                <w:bCs/>
                <w:color w:val="000000"/>
                <w:spacing w:val="6"/>
                <w:szCs w:val="28"/>
              </w:rPr>
              <w:t>转变，对工程智能设计、智能制造发展具有积极的技术支撑和示范意义。</w:t>
            </w:r>
          </w:p>
          <w:p w14:paraId="45160DEE">
            <w:pPr>
              <w:rPr>
                <w:rFonts w:eastAsia="华文楷体"/>
              </w:rPr>
            </w:pPr>
          </w:p>
        </w:tc>
      </w:tr>
      <w:tr w14:paraId="6D0435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5920C9">
            <w:pPr>
              <w:overflowPunct w:val="0"/>
              <w:ind w:firstLine="0" w:firstLineChars="0"/>
              <w:jc w:val="center"/>
              <w:rPr>
                <w:rFonts w:eastAsia="楷体_GB2312"/>
              </w:rPr>
            </w:pPr>
            <w:r>
              <w:rPr>
                <w:rFonts w:hint="eastAsia" w:ascii="楷体_GB2312" w:hAnsi="楷体_GB2312" w:eastAsia="楷体_GB2312" w:cs="楷体_GB2312"/>
                <w:color w:val="000000"/>
                <w:sz w:val="28"/>
                <w:szCs w:val="28"/>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22BB8C">
            <w:pPr>
              <w:overflowPunct w:val="0"/>
              <w:ind w:firstLine="504"/>
              <w:rPr>
                <w:rFonts w:ascii="仿宋_GB2312" w:hAnsi="仿宋_GB2312" w:eastAsia="仿宋_GB2312" w:cs="仿宋_GB2312"/>
                <w:bCs/>
                <w:color w:val="000000"/>
                <w:spacing w:val="6"/>
                <w:szCs w:val="28"/>
              </w:rPr>
            </w:pPr>
          </w:p>
          <w:p w14:paraId="740DD792">
            <w:pPr>
              <w:overflowPunct w:val="0"/>
              <w:ind w:firstLine="504"/>
              <w:rPr>
                <w:rFonts w:eastAsia="仿宋_GB2312"/>
                <w:lang w:val="en-US"/>
              </w:rPr>
            </w:pPr>
            <w:r>
              <w:rPr>
                <w:rFonts w:hint="eastAsia" w:ascii="仿宋_GB2312" w:hAnsi="仿宋_GB2312" w:eastAsia="仿宋_GB2312" w:cs="仿宋_GB2312"/>
                <w:bCs/>
                <w:color w:val="000000"/>
                <w:spacing w:val="6"/>
                <w:szCs w:val="28"/>
              </w:rPr>
              <w:t>项目成果可广泛应用于制造业、工程设计、建筑与装备等领域，有助于提升图纸检索、复用与审查效率，降低工程设计与管理的人力成本，减少因图纸理解偏差带来的工程风险。通过人工智能与工程应用交叉领域的创新与创业能力，促进科技成果转化与产学研协同发展，对推动工程数字化转型和经济社会高质量发展具有良好的现实意义。</w:t>
            </w:r>
          </w:p>
          <w:p w14:paraId="3A884CD7">
            <w:pPr>
              <w:rPr>
                <w:rFonts w:eastAsia="华文楷体"/>
              </w:rPr>
            </w:pPr>
          </w:p>
        </w:tc>
      </w:tr>
    </w:tbl>
    <w:p w14:paraId="213FC3FD">
      <w:pPr>
        <w:rPr>
          <w:rFonts w:hint="eastAsia" w:eastAsia="楷体_GB2312"/>
        </w:rPr>
      </w:pPr>
      <w:r>
        <w:rPr>
          <w:rFonts w:hint="eastAsia" w:eastAsia="楷体_GB2312"/>
        </w:rPr>
        <w:br w:type="page"/>
      </w:r>
    </w:p>
    <w:p w14:paraId="3BF3B108">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“青智未来”新质生产力</w:t>
      </w:r>
      <w:r>
        <w:rPr>
          <w:rFonts w:hint="default" w:ascii="Times New Roman" w:hAnsi="Times New Roman" w:eastAsia="方正小标宋简体" w:cs="Times New Roman"/>
          <w:b w:val="0"/>
          <w:bCs/>
          <w:kern w:val="2"/>
          <w:sz w:val="44"/>
          <w:szCs w:val="32"/>
          <w:highlight w:val="none"/>
          <w:lang w:val="en-US" w:eastAsia="zh-CN"/>
        </w:rPr>
        <w:t>专项赛</w:t>
      </w:r>
    </w:p>
    <w:p w14:paraId="7CFFC9E1">
      <w:pPr>
        <w:keepNext w:val="0"/>
        <w:keepLines w:val="0"/>
        <w:pageBreakBefore w:val="0"/>
        <w:widowControl w:val="0"/>
        <w:tabs>
          <w:tab w:val="left" w:pos="8640"/>
        </w:tabs>
        <w:kinsoku/>
        <w:wordWrap w:val="0"/>
        <w:topLinePunct w:val="0"/>
        <w:autoSpaceDE/>
        <w:autoSpaceDN/>
        <w:bidi w:val="0"/>
        <w:adjustRightInd w:val="0"/>
        <w:snapToGrid w:val="0"/>
        <w:spacing w:line="560" w:lineRule="exact"/>
        <w:jc w:val="center"/>
        <w:rPr>
          <w:rFonts w:hint="default" w:ascii="Times New Roman" w:hAnsi="Times New Roman" w:eastAsia="方正小标宋简体" w:cs="Times New Roman"/>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—1</w:t>
      </w:r>
      <w:r>
        <w:rPr>
          <w:rFonts w:hint="eastAsia" w:eastAsia="方正小标宋简体" w:cs="方正小标宋简体"/>
          <w:b w:val="0"/>
          <w:bCs/>
          <w:kern w:val="2"/>
          <w:sz w:val="44"/>
          <w:szCs w:val="32"/>
          <w:highlight w:val="none"/>
          <w:lang w:val="en-US" w:eastAsia="zh-CN"/>
        </w:rPr>
        <w:t>3</w:t>
      </w:r>
    </w:p>
    <w:p w14:paraId="28C97020">
      <w:pPr>
        <w:keepNext w:val="0"/>
        <w:keepLines w:val="0"/>
        <w:pageBreakBefore w:val="0"/>
        <w:widowControl w:val="0"/>
        <w:tabs>
          <w:tab w:val="left" w:pos="8640"/>
        </w:tabs>
        <w:kinsoku/>
        <w:wordWrap w:val="0"/>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b w:val="0"/>
          <w:bCs/>
          <w:kern w:val="2"/>
          <w:sz w:val="32"/>
          <w:szCs w:val="22"/>
          <w:highlight w:val="none"/>
          <w:lang w:val="en-US" w:eastAsia="zh-CN"/>
        </w:rPr>
      </w:pPr>
    </w:p>
    <w:p w14:paraId="1D6E8971">
      <w:pPr>
        <w:tabs>
          <w:tab w:val="left" w:pos="8640"/>
        </w:tabs>
        <w:adjustRightInd w:val="0"/>
        <w:snapToGrid w:val="0"/>
        <w:spacing w:line="560" w:lineRule="exact"/>
        <w:rPr>
          <w:rFonts w:ascii="方正楷体简体" w:hAnsi="方正楷体简体" w:eastAsia="方正楷体简体" w:cs="方正楷体简体"/>
          <w:bCs/>
          <w:spacing w:val="6"/>
        </w:rPr>
      </w:pPr>
      <w:r>
        <w:rPr>
          <w:rFonts w:hint="eastAsia" w:ascii="方正黑体简体" w:eastAsia="方正黑体简体"/>
          <w:bCs/>
          <w:spacing w:val="6"/>
          <w:sz w:val="32"/>
          <w:szCs w:val="32"/>
        </w:rPr>
        <w:t>一、单位信息</w:t>
      </w:r>
    </w:p>
    <w:tbl>
      <w:tblPr>
        <w:tblStyle w:val="11"/>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5AF56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17A734F2">
            <w:pPr>
              <w:adjustRightInd w:val="0"/>
              <w:spacing w:line="560" w:lineRule="exact"/>
              <w:jc w:val="center"/>
              <w:rPr>
                <w:rFonts w:ascii="楷体_GB2312" w:hAnsi="楷体_GB2312" w:eastAsia="楷体_GB2312" w:cs="楷体_GB2312"/>
                <w:sz w:val="28"/>
                <w:szCs w:val="32"/>
              </w:rPr>
            </w:pPr>
            <w:r>
              <w:rPr>
                <w:rFonts w:hint="eastAsia" w:ascii="楷体_GB2312" w:hAnsi="楷体_GB2312" w:eastAsia="楷体_GB2312" w:cs="楷体_GB2312"/>
                <w:sz w:val="28"/>
                <w:szCs w:val="32"/>
              </w:rPr>
              <w:t>单位名称</w:t>
            </w:r>
          </w:p>
        </w:tc>
        <w:tc>
          <w:tcPr>
            <w:tcW w:w="6932" w:type="dxa"/>
            <w:gridSpan w:val="3"/>
            <w:vAlign w:val="center"/>
          </w:tcPr>
          <w:p w14:paraId="67256662">
            <w:pPr>
              <w:adjustRightInd w:val="0"/>
              <w:snapToGrid w:val="0"/>
              <w:ind w:firstLine="480"/>
              <w:jc w:val="center"/>
              <w:rPr>
                <w:rFonts w:ascii="仿宋_GB2312" w:hAnsi="仿宋_GB2312" w:eastAsia="仿宋_GB2312" w:cs="仿宋_GB2312"/>
              </w:rPr>
            </w:pPr>
            <w:r>
              <w:rPr>
                <w:rFonts w:hint="eastAsia" w:eastAsia="仿宋_GB2312"/>
                <w:lang w:val="en-US"/>
              </w:rPr>
              <w:t>北京航天世景信息技术有限公司</w:t>
            </w:r>
          </w:p>
        </w:tc>
      </w:tr>
      <w:tr w14:paraId="455FF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3D17AD8B">
            <w:pPr>
              <w:adjustRightInd w:val="0"/>
              <w:spacing w:line="560" w:lineRule="exact"/>
              <w:jc w:val="center"/>
              <w:rPr>
                <w:rFonts w:ascii="楷体_GB2312" w:hAnsi="楷体_GB2312" w:eastAsia="楷体_GB2312" w:cs="楷体_GB2312"/>
                <w:sz w:val="28"/>
                <w:szCs w:val="32"/>
              </w:rPr>
            </w:pPr>
            <w:r>
              <w:rPr>
                <w:rFonts w:hint="eastAsia" w:ascii="楷体_GB2312" w:hAnsi="楷体_GB2312" w:eastAsia="楷体_GB2312" w:cs="楷体_GB2312"/>
                <w:sz w:val="28"/>
                <w:szCs w:val="32"/>
              </w:rPr>
              <w:t>单位类型</w:t>
            </w:r>
          </w:p>
        </w:tc>
        <w:tc>
          <w:tcPr>
            <w:tcW w:w="6932" w:type="dxa"/>
            <w:gridSpan w:val="3"/>
            <w:vAlign w:val="center"/>
          </w:tcPr>
          <w:p w14:paraId="34E28BCD">
            <w:pPr>
              <w:adjustRightInd w:val="0"/>
              <w:snapToGrid w:val="0"/>
              <w:ind w:firstLine="480"/>
              <w:jc w:val="center"/>
              <w:rPr>
                <w:rFonts w:ascii="仿宋_GB2312" w:hAnsi="仿宋_GB2312" w:eastAsia="仿宋_GB2312" w:cs="仿宋_GB2312"/>
                <w:bCs/>
                <w:spacing w:val="6"/>
                <w:szCs w:val="28"/>
                <w:lang w:val="en-US"/>
              </w:rPr>
            </w:pPr>
            <w:r>
              <w:rPr>
                <w:rFonts w:hint="eastAsia" w:eastAsia="仿宋_GB2312"/>
                <w:lang w:val="en-US"/>
              </w:rPr>
              <w:t>国有企业</w:t>
            </w:r>
          </w:p>
        </w:tc>
      </w:tr>
      <w:tr w14:paraId="5D564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1786B35B">
            <w:pPr>
              <w:adjustRightInd w:val="0"/>
              <w:spacing w:line="560" w:lineRule="exact"/>
              <w:jc w:val="center"/>
              <w:rPr>
                <w:rFonts w:ascii="楷体_GB2312" w:hAnsi="楷体_GB2312" w:eastAsia="楷体_GB2312" w:cs="楷体_GB2312"/>
                <w:sz w:val="28"/>
                <w:szCs w:val="32"/>
              </w:rPr>
            </w:pPr>
            <w:r>
              <w:rPr>
                <w:rFonts w:hint="eastAsia" w:ascii="楷体_GB2312" w:hAnsi="楷体_GB2312" w:eastAsia="楷体_GB2312" w:cs="楷体_GB2312"/>
                <w:sz w:val="28"/>
                <w:szCs w:val="32"/>
              </w:rPr>
              <w:t>地址</w:t>
            </w:r>
          </w:p>
        </w:tc>
        <w:tc>
          <w:tcPr>
            <w:tcW w:w="6932" w:type="dxa"/>
            <w:gridSpan w:val="3"/>
            <w:vAlign w:val="center"/>
          </w:tcPr>
          <w:p w14:paraId="49B23197">
            <w:pPr>
              <w:adjustRightInd w:val="0"/>
              <w:ind w:firstLine="480"/>
              <w:rPr>
                <w:rFonts w:ascii="仿宋_GB2312" w:hAnsi="仿宋_GB2312" w:eastAsia="仿宋_GB2312" w:cs="仿宋_GB2312"/>
              </w:rPr>
            </w:pPr>
            <w:r>
              <w:rPr>
                <w:rFonts w:hint="eastAsia" w:eastAsia="仿宋_GB2312"/>
                <w:lang w:val="en-US"/>
              </w:rPr>
              <w:t>北京市石景山区鲁谷路</w:t>
            </w:r>
            <w:r>
              <w:rPr>
                <w:rFonts w:eastAsia="仿宋_GB2312"/>
                <w:lang w:val="en-US"/>
              </w:rPr>
              <w:t>74</w:t>
            </w:r>
            <w:r>
              <w:rPr>
                <w:rFonts w:hint="eastAsia" w:eastAsia="仿宋_GB2312"/>
                <w:lang w:val="en-US"/>
              </w:rPr>
              <w:t>号中国瑞达大厦</w:t>
            </w:r>
            <w:r>
              <w:rPr>
                <w:rFonts w:eastAsia="仿宋_GB2312"/>
                <w:lang w:val="en-US"/>
              </w:rPr>
              <w:t>8</w:t>
            </w:r>
            <w:r>
              <w:rPr>
                <w:rFonts w:hint="eastAsia" w:eastAsia="仿宋_GB2312"/>
                <w:lang w:val="en-US"/>
              </w:rPr>
              <w:t>层</w:t>
            </w:r>
            <w:r>
              <w:rPr>
                <w:rFonts w:eastAsia="仿宋_GB2312"/>
                <w:lang w:val="en-US"/>
              </w:rPr>
              <w:t>F812-F815</w:t>
            </w:r>
          </w:p>
        </w:tc>
      </w:tr>
      <w:tr w14:paraId="3F6E4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37A12166">
            <w:pPr>
              <w:adjustRightInd w:val="0"/>
              <w:spacing w:line="560" w:lineRule="exact"/>
              <w:jc w:val="center"/>
              <w:rPr>
                <w:rFonts w:ascii="楷体_GB2312" w:hAnsi="楷体_GB2312" w:eastAsia="楷体_GB2312" w:cs="楷体_GB2312"/>
                <w:sz w:val="28"/>
                <w:szCs w:val="32"/>
              </w:rPr>
            </w:pPr>
            <w:r>
              <w:rPr>
                <w:rFonts w:hint="eastAsia" w:ascii="楷体_GB2312" w:hAnsi="楷体_GB2312" w:eastAsia="楷体_GB2312" w:cs="楷体_GB2312"/>
                <w:sz w:val="28"/>
                <w:szCs w:val="32"/>
              </w:rPr>
              <w:t>单位简介</w:t>
            </w:r>
          </w:p>
        </w:tc>
        <w:tc>
          <w:tcPr>
            <w:tcW w:w="6932" w:type="dxa"/>
            <w:gridSpan w:val="3"/>
            <w:vAlign w:val="center"/>
          </w:tcPr>
          <w:p w14:paraId="63B85343">
            <w:pPr>
              <w:adjustRightInd w:val="0"/>
              <w:snapToGrid w:val="0"/>
              <w:jc w:val="both"/>
              <w:rPr>
                <w:rFonts w:ascii="仿宋_GB2312" w:hAnsi="仿宋_GB2312" w:eastAsia="仿宋_GB2312" w:cs="仿宋_GB2312"/>
                <w:bCs/>
                <w:spacing w:val="6"/>
                <w:szCs w:val="28"/>
              </w:rPr>
            </w:pPr>
            <w:r>
              <w:rPr>
                <w:rFonts w:hint="eastAsia" w:eastAsia="仿宋_GB2312"/>
              </w:rPr>
              <w:t>北京航天世景信息技术有限公司，注册资本</w:t>
            </w:r>
            <w:r>
              <w:rPr>
                <w:rFonts w:eastAsia="仿宋_GB2312"/>
              </w:rPr>
              <w:t>5000</w:t>
            </w:r>
            <w:r>
              <w:rPr>
                <w:rFonts w:hint="eastAsia" w:eastAsia="仿宋_GB2312"/>
              </w:rPr>
              <w:t>万，是中国航天科技集团全资子公司（央企三级），人员规模约2</w:t>
            </w:r>
            <w:r>
              <w:rPr>
                <w:rFonts w:eastAsia="仿宋_GB2312"/>
              </w:rPr>
              <w:t>00</w:t>
            </w:r>
            <w:r>
              <w:rPr>
                <w:rFonts w:hint="eastAsia" w:eastAsia="仿宋_GB2312"/>
              </w:rPr>
              <w:t>人。专注民用卫星遥感领域。统筹运营5</w:t>
            </w:r>
            <w:r>
              <w:rPr>
                <w:rFonts w:eastAsia="仿宋_GB2312"/>
              </w:rPr>
              <w:t>8</w:t>
            </w:r>
            <w:r>
              <w:rPr>
                <w:rFonts w:hint="eastAsia" w:eastAsia="仿宋_GB2312"/>
              </w:rPr>
              <w:t>颗民商遥感卫星资源，具备遥感数据生产、</w:t>
            </w:r>
            <w:r>
              <w:rPr>
                <w:rFonts w:eastAsia="仿宋_GB2312"/>
              </w:rPr>
              <w:t>AI</w:t>
            </w:r>
            <w:r>
              <w:rPr>
                <w:rFonts w:hint="eastAsia" w:eastAsia="仿宋_GB2312"/>
              </w:rPr>
              <w:t>解译、软件开发及行业解决方案的全链条服务能力。拥有甲级测绘资质等</w:t>
            </w:r>
            <w:r>
              <w:rPr>
                <w:rFonts w:eastAsia="仿宋_GB2312"/>
              </w:rPr>
              <w:t>10</w:t>
            </w:r>
            <w:r>
              <w:rPr>
                <w:rFonts w:hint="eastAsia" w:eastAsia="仿宋_GB2312"/>
              </w:rPr>
              <w:t>余项资质，授权发明专利</w:t>
            </w:r>
            <w:r>
              <w:rPr>
                <w:rFonts w:eastAsia="仿宋_GB2312"/>
              </w:rPr>
              <w:t>18</w:t>
            </w:r>
            <w:r>
              <w:rPr>
                <w:rFonts w:hint="eastAsia" w:eastAsia="仿宋_GB2312"/>
              </w:rPr>
              <w:t>项、软著</w:t>
            </w:r>
            <w:r>
              <w:rPr>
                <w:rFonts w:eastAsia="仿宋_GB2312"/>
              </w:rPr>
              <w:t>60</w:t>
            </w:r>
            <w:r>
              <w:rPr>
                <w:rFonts w:hint="eastAsia" w:eastAsia="仿宋_GB2312"/>
              </w:rPr>
              <w:t>项。数据统筹类项目市场份额超</w:t>
            </w:r>
            <w:r>
              <w:rPr>
                <w:rFonts w:eastAsia="仿宋_GB2312"/>
              </w:rPr>
              <w:t>80%</w:t>
            </w:r>
            <w:r>
              <w:rPr>
                <w:rFonts w:hint="eastAsia" w:eastAsia="仿宋_GB2312"/>
              </w:rPr>
              <w:t>。连续四年入选中国地理信息产业百强，为国内超百家政企客户提供时空信息智能服务，稳居行业领军地位。</w:t>
            </w:r>
          </w:p>
        </w:tc>
      </w:tr>
      <w:tr w14:paraId="25E51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597923E4">
            <w:pPr>
              <w:adjustRightInd w:val="0"/>
              <w:spacing w:line="560" w:lineRule="exact"/>
              <w:jc w:val="center"/>
              <w:rPr>
                <w:rFonts w:ascii="楷体_GB2312" w:hAnsi="楷体_GB2312" w:eastAsia="楷体_GB2312" w:cs="楷体_GB2312"/>
                <w:sz w:val="28"/>
                <w:szCs w:val="32"/>
              </w:rPr>
            </w:pPr>
            <w:r>
              <w:rPr>
                <w:rFonts w:hint="eastAsia" w:ascii="楷体_GB2312" w:hAnsi="楷体_GB2312" w:eastAsia="楷体_GB2312" w:cs="楷体_GB2312"/>
                <w:sz w:val="28"/>
                <w:szCs w:val="32"/>
              </w:rPr>
              <w:t>联系人</w:t>
            </w:r>
          </w:p>
        </w:tc>
        <w:tc>
          <w:tcPr>
            <w:tcW w:w="3076" w:type="dxa"/>
            <w:vAlign w:val="center"/>
          </w:tcPr>
          <w:p w14:paraId="4231C2A4">
            <w:pPr>
              <w:adjustRightInd w:val="0"/>
              <w:snapToGrid w:val="0"/>
              <w:jc w:val="center"/>
              <w:rPr>
                <w:rFonts w:ascii="仿宋_GB2312" w:hAnsi="仿宋_GB2312" w:eastAsia="仿宋_GB2312" w:cs="仿宋_GB2312"/>
                <w:bCs/>
                <w:spacing w:val="6"/>
                <w:szCs w:val="28"/>
                <w:lang w:val="en-US"/>
              </w:rPr>
            </w:pPr>
            <w:r>
              <w:rPr>
                <w:rFonts w:hint="eastAsia" w:eastAsia="仿宋_GB2312"/>
                <w:lang w:val="en-US"/>
              </w:rPr>
              <w:t>邱凤婷</w:t>
            </w:r>
          </w:p>
        </w:tc>
        <w:tc>
          <w:tcPr>
            <w:tcW w:w="1073" w:type="dxa"/>
            <w:vAlign w:val="center"/>
          </w:tcPr>
          <w:p w14:paraId="542A0EB1">
            <w:pPr>
              <w:adjustRightInd w:val="0"/>
              <w:spacing w:line="560" w:lineRule="exact"/>
              <w:jc w:val="center"/>
              <w:rPr>
                <w:rFonts w:ascii="楷体_GB2312" w:hAnsi="楷体_GB2312" w:eastAsia="楷体_GB2312" w:cs="楷体_GB2312"/>
                <w:sz w:val="28"/>
                <w:szCs w:val="32"/>
              </w:rPr>
            </w:pPr>
            <w:r>
              <w:rPr>
                <w:rFonts w:hint="eastAsia" w:ascii="楷体_GB2312" w:hAnsi="楷体_GB2312" w:eastAsia="楷体_GB2312" w:cs="楷体_GB2312"/>
                <w:sz w:val="28"/>
                <w:szCs w:val="32"/>
              </w:rPr>
              <w:t>职务</w:t>
            </w:r>
          </w:p>
        </w:tc>
        <w:tc>
          <w:tcPr>
            <w:tcW w:w="2783" w:type="dxa"/>
            <w:vAlign w:val="center"/>
          </w:tcPr>
          <w:p w14:paraId="47B48D94">
            <w:pPr>
              <w:adjustRightInd w:val="0"/>
              <w:ind w:firstLine="480"/>
              <w:jc w:val="center"/>
              <w:rPr>
                <w:rFonts w:eastAsia="方正仿宋简体"/>
              </w:rPr>
            </w:pPr>
            <w:r>
              <w:rPr>
                <w:rFonts w:hint="eastAsia" w:eastAsia="仿宋_GB2312"/>
                <w:lang w:val="en-US"/>
              </w:rPr>
              <w:t>智能解译部部长</w:t>
            </w:r>
          </w:p>
        </w:tc>
      </w:tr>
      <w:tr w14:paraId="6D5B5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1D300CA2">
            <w:pPr>
              <w:adjustRightInd w:val="0"/>
              <w:spacing w:line="560" w:lineRule="exact"/>
              <w:jc w:val="center"/>
              <w:rPr>
                <w:rFonts w:ascii="楷体_GB2312" w:hAnsi="楷体_GB2312" w:eastAsia="楷体_GB2312" w:cs="楷体_GB2312"/>
                <w:sz w:val="28"/>
                <w:szCs w:val="32"/>
              </w:rPr>
            </w:pPr>
            <w:r>
              <w:rPr>
                <w:rFonts w:hint="eastAsia" w:ascii="楷体_GB2312" w:hAnsi="楷体_GB2312" w:eastAsia="楷体_GB2312" w:cs="楷体_GB2312"/>
                <w:sz w:val="28"/>
                <w:szCs w:val="32"/>
              </w:rPr>
              <w:t>联系方式</w:t>
            </w:r>
          </w:p>
        </w:tc>
        <w:tc>
          <w:tcPr>
            <w:tcW w:w="3076" w:type="dxa"/>
            <w:vAlign w:val="center"/>
          </w:tcPr>
          <w:p w14:paraId="72FAE82B">
            <w:pPr>
              <w:adjustRightInd w:val="0"/>
              <w:snapToGrid w:val="0"/>
              <w:jc w:val="center"/>
              <w:rPr>
                <w:rFonts w:ascii="仿宋_GB2312" w:hAnsi="仿宋_GB2312" w:eastAsia="仿宋_GB2312" w:cs="仿宋_GB2312"/>
                <w:bCs/>
                <w:spacing w:val="6"/>
                <w:szCs w:val="28"/>
                <w:lang w:val="en-US"/>
              </w:rPr>
            </w:pPr>
            <w:r>
              <w:rPr>
                <w:rFonts w:hint="eastAsia" w:eastAsia="仿宋_GB2312"/>
                <w:lang w:val="en-US"/>
              </w:rPr>
              <w:t>1</w:t>
            </w:r>
            <w:r>
              <w:rPr>
                <w:rFonts w:eastAsia="仿宋_GB2312"/>
                <w:lang w:val="en-US"/>
              </w:rPr>
              <w:t>5910605950</w:t>
            </w:r>
          </w:p>
        </w:tc>
        <w:tc>
          <w:tcPr>
            <w:tcW w:w="1073" w:type="dxa"/>
            <w:vAlign w:val="center"/>
          </w:tcPr>
          <w:p w14:paraId="57EDEB9F">
            <w:pPr>
              <w:adjustRightInd w:val="0"/>
              <w:spacing w:line="560" w:lineRule="exact"/>
              <w:jc w:val="center"/>
              <w:rPr>
                <w:rFonts w:ascii="楷体_GB2312" w:hAnsi="楷体_GB2312" w:eastAsia="楷体_GB2312" w:cs="楷体_GB2312"/>
                <w:sz w:val="28"/>
                <w:szCs w:val="32"/>
              </w:rPr>
            </w:pPr>
            <w:r>
              <w:rPr>
                <w:rFonts w:hint="eastAsia" w:ascii="楷体_GB2312" w:hAnsi="楷体_GB2312" w:eastAsia="楷体_GB2312" w:cs="楷体_GB2312"/>
                <w:sz w:val="28"/>
                <w:szCs w:val="32"/>
              </w:rPr>
              <w:t>微信</w:t>
            </w:r>
          </w:p>
        </w:tc>
        <w:tc>
          <w:tcPr>
            <w:tcW w:w="2783" w:type="dxa"/>
            <w:vAlign w:val="center"/>
          </w:tcPr>
          <w:p w14:paraId="4480342B">
            <w:pPr>
              <w:adjustRightInd w:val="0"/>
              <w:ind w:firstLine="480"/>
              <w:jc w:val="center"/>
              <w:rPr>
                <w:rFonts w:eastAsia="方正仿宋简体"/>
              </w:rPr>
            </w:pPr>
            <w:r>
              <w:rPr>
                <w:rFonts w:hint="eastAsia" w:eastAsia="仿宋_GB2312"/>
                <w:lang w:val="en-US"/>
              </w:rPr>
              <w:t>1</w:t>
            </w:r>
            <w:r>
              <w:rPr>
                <w:rFonts w:eastAsia="仿宋_GB2312"/>
                <w:lang w:val="en-US"/>
              </w:rPr>
              <w:t>5910605950</w:t>
            </w:r>
          </w:p>
        </w:tc>
      </w:tr>
    </w:tbl>
    <w:p w14:paraId="536FC67D">
      <w:pPr>
        <w:tabs>
          <w:tab w:val="left" w:pos="8640"/>
        </w:tabs>
        <w:adjustRightInd w:val="0"/>
        <w:snapToGrid w:val="0"/>
        <w:spacing w:line="560" w:lineRule="exact"/>
        <w:rPr>
          <w:rFonts w:ascii="方正黑体简体" w:eastAsia="方正黑体简体"/>
          <w:bCs/>
          <w:spacing w:val="6"/>
          <w:sz w:val="32"/>
          <w:szCs w:val="32"/>
        </w:rPr>
      </w:pPr>
      <w:r>
        <w:rPr>
          <w:rFonts w:hint="eastAsia" w:ascii="方正黑体简体" w:eastAsia="方正黑体简体"/>
          <w:bCs/>
          <w:spacing w:val="6"/>
          <w:sz w:val="32"/>
          <w:szCs w:val="32"/>
        </w:rPr>
        <w:t>二、选题说明</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0C57E0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9E100C5">
            <w:pPr>
              <w:adjustRightInd w:val="0"/>
              <w:snapToGrid w:val="0"/>
              <w:spacing w:line="560" w:lineRule="exact"/>
              <w:jc w:val="center"/>
              <w:rPr>
                <w:rFonts w:ascii="楷体_GB2312" w:hAnsi="楷体_GB2312" w:eastAsia="楷体_GB2312" w:cs="楷体_GB2312"/>
                <w:color w:val="000000"/>
                <w:sz w:val="28"/>
                <w:szCs w:val="28"/>
                <w:lang w:val="en-US"/>
              </w:rPr>
            </w:pPr>
            <w:r>
              <w:rPr>
                <w:rFonts w:hint="eastAsia" w:ascii="楷体_GB2312" w:hAnsi="楷体_GB2312" w:eastAsia="楷体_GB2312" w:cs="楷体_GB2312"/>
                <w:color w:val="000000"/>
                <w:sz w:val="28"/>
                <w:szCs w:val="28"/>
                <w:lang w:val="en-US"/>
              </w:rPr>
              <w:t>选题题目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D1F96BC">
            <w:pPr>
              <w:adjustRightInd w:val="0"/>
              <w:snapToGrid w:val="0"/>
              <w:ind w:firstLine="480" w:firstLineChars="200"/>
              <w:jc w:val="both"/>
              <w:rPr>
                <w:rFonts w:ascii="仿宋_GB2312" w:hAnsi="仿宋_GB2312" w:eastAsia="仿宋_GB2312" w:cs="仿宋_GB2312"/>
                <w:color w:val="000000"/>
              </w:rPr>
            </w:pPr>
            <w:r>
              <w:rPr>
                <w:rFonts w:hint="eastAsia" w:eastAsia="仿宋_GB2312"/>
              </w:rPr>
              <w:t>面向我国边疆地区的国产商业卫星遥感智能解译基础模型</w:t>
            </w:r>
          </w:p>
        </w:tc>
      </w:tr>
      <w:tr w14:paraId="55A70F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5EA07AB">
            <w:pPr>
              <w:adjustRightInd w:val="0"/>
              <w:snapToGrid w:val="0"/>
              <w:spacing w:line="560" w:lineRule="exact"/>
              <w:jc w:val="center"/>
              <w:rPr>
                <w:rFonts w:ascii="楷体_GB2312" w:hAnsi="楷体_GB2312" w:eastAsia="楷体_GB2312" w:cs="楷体_GB2312"/>
                <w:color w:val="000000"/>
                <w:sz w:val="28"/>
                <w:szCs w:val="28"/>
                <w:lang w:val="en-US"/>
              </w:rPr>
            </w:pPr>
            <w:r>
              <w:rPr>
                <w:rFonts w:hint="eastAsia" w:ascii="楷体_GB2312" w:hAnsi="楷体_GB2312" w:eastAsia="楷体_GB2312" w:cs="楷体_GB2312"/>
                <w:color w:val="000000"/>
                <w:sz w:val="28"/>
                <w:szCs w:val="28"/>
                <w:lang w:val="en-US"/>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058C69A">
            <w:pPr>
              <w:adjustRightInd w:val="0"/>
              <w:snapToGrid w:val="0"/>
              <w:ind w:firstLine="480" w:firstLineChars="200"/>
              <w:jc w:val="both"/>
              <w:rPr>
                <w:rFonts w:ascii="仿宋_GB2312" w:hAnsi="仿宋_GB2312" w:eastAsia="仿宋_GB2312" w:cs="仿宋_GB2312"/>
                <w:color w:val="000000"/>
              </w:rPr>
            </w:pPr>
            <w:r>
              <w:rPr>
                <w:rFonts w:hint="eastAsia" w:eastAsia="仿宋_GB2312"/>
                <w:lang w:val="en-US"/>
              </w:rPr>
              <w:t>航空航天</w:t>
            </w:r>
          </w:p>
        </w:tc>
      </w:tr>
      <w:tr w14:paraId="7A27C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2DEF523">
            <w:pPr>
              <w:adjustRightInd w:val="0"/>
              <w:snapToGrid w:val="0"/>
              <w:spacing w:line="560" w:lineRule="exact"/>
              <w:jc w:val="center"/>
              <w:rPr>
                <w:rFonts w:ascii="楷体_GB2312" w:hAnsi="楷体_GB2312" w:eastAsia="楷体_GB2312" w:cs="楷体_GB2312"/>
                <w:color w:val="000000"/>
                <w:sz w:val="28"/>
                <w:szCs w:val="28"/>
                <w:lang w:val="en-US"/>
              </w:rPr>
            </w:pPr>
            <w:r>
              <w:rPr>
                <w:rFonts w:hint="eastAsia" w:ascii="楷体_GB2312" w:hAnsi="楷体_GB2312" w:eastAsia="楷体_GB2312" w:cs="楷体_GB2312"/>
                <w:color w:val="000000"/>
                <w:sz w:val="28"/>
                <w:szCs w:val="28"/>
                <w:lang w:val="en-US"/>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0502674">
            <w:pPr>
              <w:overflowPunct w:val="0"/>
              <w:adjustRightInd w:val="0"/>
              <w:snapToGrid w:val="0"/>
              <w:ind w:firstLine="480" w:firstLineChars="200"/>
              <w:rPr>
                <w:rFonts w:eastAsia="仿宋_GB2312"/>
              </w:rPr>
            </w:pPr>
            <w:r>
              <w:rPr>
                <w:rFonts w:hint="eastAsia" w:eastAsia="仿宋_GB2312"/>
              </w:rPr>
              <w:t>随着社会经济的快速发展，商业卫星遥感技术在国土资源管理、灾害应急响应、能源设施监测等领域的应用日益广泛。与此同时，我国对边疆地区的建设投入力度加大，更加突显了针对边疆地区资源利用、灾害等方面进行解译与分析的重要性。</w:t>
            </w:r>
          </w:p>
          <w:p w14:paraId="6A937DCB">
            <w:pPr>
              <w:overflowPunct w:val="0"/>
              <w:adjustRightInd w:val="0"/>
              <w:snapToGrid w:val="0"/>
              <w:ind w:firstLine="480" w:firstLineChars="200"/>
              <w:rPr>
                <w:rFonts w:ascii="仿宋_GB2312" w:hAnsi="仿宋_GB2312" w:eastAsia="仿宋_GB2312" w:cs="仿宋_GB2312"/>
                <w:bCs/>
                <w:color w:val="000000"/>
                <w:spacing w:val="6"/>
                <w:szCs w:val="28"/>
                <w:lang w:val="en-US"/>
              </w:rPr>
            </w:pPr>
            <w:r>
              <w:rPr>
                <w:rFonts w:hint="eastAsia" w:eastAsia="仿宋_GB2312"/>
              </w:rPr>
              <w:t>本赛题旨在构建一个面向我国边疆地区、针对国产商业卫星开发的，具备资源探查、环境感知等能力的遥感智能解译基础模型。参赛选手需将深度学习与传统图像处理技术相结合，实现多种遥感解译任务，包括但不限于土地利用分割、耕地检测、受灾区域制图、能源设施检测等，能够在大范围遥感图像内识别和提取关键信息。选手需结合自身专业优势，探索并研发出具备创新性的解决方案，为遥感基础模型的实际落地应用提供技术支持，切实推动我国边疆地区的高质量发展。</w:t>
            </w:r>
          </w:p>
        </w:tc>
      </w:tr>
      <w:tr w14:paraId="6CADC1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076A576">
            <w:pPr>
              <w:adjustRightInd w:val="0"/>
              <w:snapToGrid w:val="0"/>
              <w:spacing w:line="560" w:lineRule="exact"/>
              <w:jc w:val="center"/>
              <w:rPr>
                <w:rFonts w:ascii="楷体_GB2312" w:hAnsi="楷体_GB2312" w:eastAsia="楷体_GB2312" w:cs="楷体_GB2312"/>
                <w:color w:val="000000"/>
                <w:sz w:val="28"/>
                <w:szCs w:val="28"/>
                <w:lang w:val="en-US"/>
              </w:rPr>
            </w:pPr>
            <w:r>
              <w:rPr>
                <w:rFonts w:hint="eastAsia" w:ascii="楷体_GB2312" w:hAnsi="楷体_GB2312" w:eastAsia="楷体_GB2312" w:cs="楷体_GB2312"/>
                <w:color w:val="000000"/>
                <w:sz w:val="28"/>
                <w:szCs w:val="28"/>
                <w:lang w:val="en-US"/>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28FBA1D">
            <w:pPr>
              <w:overflowPunct w:val="0"/>
              <w:adjustRightInd w:val="0"/>
              <w:snapToGrid w:val="0"/>
              <w:ind w:firstLine="480" w:firstLineChars="200"/>
              <w:rPr>
                <w:rFonts w:eastAsia="仿宋_GB2312"/>
              </w:rPr>
            </w:pPr>
            <w:r>
              <w:rPr>
                <w:rFonts w:hint="eastAsia" w:eastAsia="仿宋_GB2312"/>
              </w:rPr>
              <w:t>提报形式：以个人或团队形式参赛均可，每个团队不超过</w:t>
            </w:r>
            <w:r>
              <w:rPr>
                <w:rFonts w:eastAsia="仿宋_GB2312"/>
              </w:rPr>
              <w:t>3</w:t>
            </w:r>
            <w:r>
              <w:rPr>
                <w:rFonts w:hint="eastAsia" w:eastAsia="仿宋_GB2312"/>
              </w:rPr>
              <w:t>人，提交作品方案一份，包含演示和测试验证视频。</w:t>
            </w:r>
          </w:p>
          <w:p w14:paraId="5EE3A56D">
            <w:pPr>
              <w:overflowPunct w:val="0"/>
              <w:adjustRightInd w:val="0"/>
              <w:snapToGrid w:val="0"/>
              <w:ind w:firstLine="480" w:firstLineChars="200"/>
              <w:rPr>
                <w:rFonts w:eastAsia="仿宋_GB2312"/>
              </w:rPr>
            </w:pPr>
            <w:r>
              <w:rPr>
                <w:rFonts w:hint="eastAsia" w:eastAsia="仿宋_GB2312"/>
              </w:rPr>
              <w:t>提报时间：</w:t>
            </w:r>
            <w:r>
              <w:rPr>
                <w:rFonts w:eastAsia="仿宋_GB2312"/>
              </w:rPr>
              <w:t>202</w:t>
            </w:r>
            <w:r>
              <w:rPr>
                <w:rFonts w:hint="eastAsia" w:eastAsia="仿宋_GB2312"/>
              </w:rPr>
              <w:t>6年</w:t>
            </w:r>
            <w:r>
              <w:rPr>
                <w:rFonts w:eastAsia="仿宋_GB2312"/>
              </w:rPr>
              <w:t>4</w:t>
            </w:r>
            <w:r>
              <w:rPr>
                <w:rFonts w:hint="eastAsia" w:eastAsia="仿宋_GB2312"/>
              </w:rPr>
              <w:t>月</w:t>
            </w:r>
            <w:r>
              <w:rPr>
                <w:rFonts w:eastAsia="仿宋_GB2312"/>
              </w:rPr>
              <w:t>15</w:t>
            </w:r>
            <w:r>
              <w:rPr>
                <w:rFonts w:hint="eastAsia" w:eastAsia="仿宋_GB2312"/>
              </w:rPr>
              <w:t>日</w:t>
            </w:r>
            <w:r>
              <w:rPr>
                <w:rFonts w:eastAsia="仿宋_GB2312"/>
              </w:rPr>
              <w:t>-5</w:t>
            </w:r>
            <w:r>
              <w:rPr>
                <w:rFonts w:hint="eastAsia" w:eastAsia="仿宋_GB2312"/>
              </w:rPr>
              <w:t>月</w:t>
            </w:r>
            <w:r>
              <w:rPr>
                <w:rFonts w:eastAsia="仿宋_GB2312"/>
              </w:rPr>
              <w:t>15</w:t>
            </w:r>
            <w:r>
              <w:rPr>
                <w:rFonts w:hint="eastAsia" w:eastAsia="仿宋_GB2312"/>
              </w:rPr>
              <w:t>日，评选时间暂定2026年</w:t>
            </w:r>
            <w:r>
              <w:rPr>
                <w:rFonts w:eastAsia="仿宋_GB2312"/>
              </w:rPr>
              <w:t>6</w:t>
            </w:r>
            <w:r>
              <w:rPr>
                <w:rFonts w:hint="eastAsia" w:eastAsia="仿宋_GB2312"/>
              </w:rPr>
              <w:t>月。</w:t>
            </w:r>
          </w:p>
          <w:p w14:paraId="0FB4DC5A">
            <w:pPr>
              <w:adjustRightInd w:val="0"/>
              <w:snapToGrid w:val="0"/>
              <w:ind w:firstLine="480" w:firstLineChars="200"/>
              <w:rPr>
                <w:rFonts w:ascii="仿宋_GB2312" w:hAnsi="仿宋_GB2312" w:eastAsia="仿宋_GB2312" w:cs="仿宋_GB2312"/>
                <w:color w:val="000000"/>
              </w:rPr>
            </w:pPr>
            <w:r>
              <w:rPr>
                <w:rFonts w:hint="eastAsia" w:eastAsia="仿宋_GB2312"/>
              </w:rPr>
              <w:t>提报要求：作品方案需阐明团队简介、技术来源、技术路线、技术创新、技术优势、技术预期实现效益及技术可应用性等；作品需切合题目针对我国边疆地区特点设计，并力争在国产商用卫星上验证。</w:t>
            </w:r>
          </w:p>
        </w:tc>
      </w:tr>
      <w:tr w14:paraId="023BE5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E0C94E">
            <w:pPr>
              <w:adjustRightInd w:val="0"/>
              <w:snapToGrid w:val="0"/>
              <w:spacing w:line="560" w:lineRule="exact"/>
              <w:jc w:val="center"/>
              <w:rPr>
                <w:rFonts w:ascii="楷体_GB2312" w:hAnsi="楷体_GB2312" w:eastAsia="楷体_GB2312" w:cs="楷体_GB2312"/>
                <w:color w:val="000000"/>
                <w:sz w:val="28"/>
                <w:szCs w:val="28"/>
                <w:lang w:val="en-US"/>
              </w:rPr>
            </w:pPr>
            <w:r>
              <w:rPr>
                <w:rFonts w:hint="eastAsia" w:ascii="楷体_GB2312" w:hAnsi="楷体_GB2312" w:eastAsia="楷体_GB2312" w:cs="楷体_GB2312"/>
                <w:color w:val="000000"/>
                <w:sz w:val="28"/>
                <w:szCs w:val="28"/>
                <w:lang w:val="en-US"/>
              </w:rPr>
              <w:t>作品评审</w:t>
            </w:r>
          </w:p>
          <w:p w14:paraId="2CABFC86">
            <w:pPr>
              <w:adjustRightInd w:val="0"/>
              <w:snapToGrid w:val="0"/>
              <w:spacing w:line="560" w:lineRule="exact"/>
              <w:jc w:val="center"/>
              <w:rPr>
                <w:rFonts w:ascii="楷体_GB2312" w:hAnsi="楷体_GB2312" w:eastAsia="楷体_GB2312" w:cs="楷体_GB2312"/>
                <w:color w:val="000000"/>
                <w:sz w:val="28"/>
                <w:szCs w:val="28"/>
                <w:lang w:val="en-US"/>
              </w:rPr>
            </w:pPr>
            <w:r>
              <w:rPr>
                <w:rFonts w:hint="eastAsia" w:ascii="楷体_GB2312" w:hAnsi="楷体_GB2312" w:eastAsia="楷体_GB2312" w:cs="楷体_GB2312"/>
                <w:color w:val="000000"/>
                <w:sz w:val="28"/>
                <w:szCs w:val="28"/>
                <w:lang w:val="en-US"/>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A61162">
            <w:pPr>
              <w:overflowPunct w:val="0"/>
              <w:adjustRightInd w:val="0"/>
              <w:snapToGrid w:val="0"/>
              <w:ind w:firstLine="480" w:firstLineChars="200"/>
              <w:rPr>
                <w:rFonts w:ascii="仿宋_GB2312" w:hAnsi="仿宋_GB2312" w:eastAsia="仿宋_GB2312" w:cs="仿宋_GB2312"/>
                <w:bCs/>
                <w:color w:val="000000"/>
                <w:spacing w:val="6"/>
                <w:szCs w:val="28"/>
              </w:rPr>
            </w:pPr>
            <w:r>
              <w:rPr>
                <w:rFonts w:hint="eastAsia" w:eastAsia="仿宋_GB2312"/>
              </w:rPr>
              <w:t>通过PPT答辩形式进行线下或线上评选，由评审专家从技术创新性、技术预期效益、技术可应用性及团队实力等方面进行评选。</w:t>
            </w:r>
          </w:p>
        </w:tc>
      </w:tr>
      <w:tr w14:paraId="537AFB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8903BD0">
            <w:pPr>
              <w:adjustRightInd w:val="0"/>
              <w:snapToGrid w:val="0"/>
              <w:spacing w:line="560" w:lineRule="exact"/>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lang w:val="en-US"/>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A3ABE02">
            <w:pPr>
              <w:overflowPunct w:val="0"/>
              <w:adjustRightInd w:val="0"/>
              <w:snapToGrid w:val="0"/>
              <w:ind w:firstLine="480" w:firstLineChars="200"/>
              <w:rPr>
                <w:rFonts w:ascii="仿宋_GB2312" w:hAnsi="仿宋_GB2312" w:eastAsia="仿宋_GB2312" w:cs="仿宋_GB2312"/>
                <w:bCs/>
                <w:color w:val="000000"/>
                <w:spacing w:val="6"/>
                <w:szCs w:val="28"/>
              </w:rPr>
            </w:pPr>
            <w:r>
              <w:rPr>
                <w:rFonts w:hint="eastAsia" w:eastAsia="仿宋_GB2312"/>
              </w:rPr>
              <w:t>无。</w:t>
            </w:r>
          </w:p>
        </w:tc>
      </w:tr>
    </w:tbl>
    <w:p w14:paraId="5995C6AB">
      <w:pPr>
        <w:tabs>
          <w:tab w:val="left" w:pos="8640"/>
        </w:tabs>
        <w:adjustRightInd w:val="0"/>
        <w:snapToGrid w:val="0"/>
        <w:spacing w:line="440" w:lineRule="exact"/>
        <w:rPr>
          <w:rFonts w:ascii="方正黑体简体" w:eastAsia="方正黑体简体"/>
          <w:bCs/>
          <w:spacing w:val="6"/>
          <w:sz w:val="32"/>
          <w:szCs w:val="32"/>
        </w:rPr>
      </w:pPr>
      <w:r>
        <w:rPr>
          <w:rFonts w:hint="eastAsia" w:ascii="方正黑体简体" w:eastAsia="方正黑体简体"/>
          <w:bCs/>
          <w:spacing w:val="6"/>
          <w:sz w:val="32"/>
          <w:szCs w:val="32"/>
        </w:rPr>
        <w:t>三、激励保障</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64CCAB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2036"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3F4A615">
            <w:pPr>
              <w:adjustRightInd w:val="0"/>
              <w:snapToGrid w:val="0"/>
              <w:spacing w:line="560" w:lineRule="exact"/>
              <w:jc w:val="center"/>
              <w:rPr>
                <w:rFonts w:ascii="楷体_GB2312" w:hAnsi="楷体_GB2312" w:eastAsia="楷体_GB2312" w:cs="楷体_GB2312"/>
                <w:color w:val="000000"/>
                <w:sz w:val="28"/>
                <w:szCs w:val="28"/>
                <w:lang w:val="en-US"/>
              </w:rPr>
            </w:pPr>
            <w:r>
              <w:rPr>
                <w:rFonts w:hint="eastAsia" w:ascii="楷体_GB2312" w:hAnsi="楷体_GB2312" w:eastAsia="楷体_GB2312" w:cs="楷体_GB2312"/>
                <w:color w:val="000000"/>
                <w:sz w:val="28"/>
                <w:szCs w:val="28"/>
                <w:lang w:val="en-US"/>
              </w:rPr>
              <w:t>保障措施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E1C978A">
            <w:pPr>
              <w:adjustRightInd w:val="0"/>
              <w:snapToGrid w:val="0"/>
              <w:ind w:firstLine="480" w:firstLineChars="200"/>
              <w:jc w:val="both"/>
              <w:rPr>
                <w:rFonts w:ascii="仿宋_GB2312" w:hAnsi="仿宋_GB2312" w:eastAsia="仿宋_GB2312" w:cs="仿宋_GB2312"/>
                <w:bCs/>
                <w:color w:val="000000"/>
                <w:spacing w:val="6"/>
                <w:szCs w:val="28"/>
              </w:rPr>
            </w:pPr>
            <w:r>
              <w:rPr>
                <w:rFonts w:hint="eastAsia" w:eastAsia="仿宋_GB2312"/>
                <w:lang w:val="en-US"/>
              </w:rPr>
              <w:t>2026年4月-5月期间，可为参赛团队集中组织1次线上技术交流沟通会，帮助参赛团队更好的了解参赛题目；整个参赛期间，为参赛团队提供专门指导人员，解及帮助其协调参赛过程的相关问题。</w:t>
            </w:r>
          </w:p>
        </w:tc>
      </w:tr>
      <w:tr w14:paraId="1AC6C0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767"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3652DE7">
            <w:pPr>
              <w:adjustRightInd w:val="0"/>
              <w:snapToGrid w:val="0"/>
              <w:spacing w:line="560" w:lineRule="exact"/>
              <w:jc w:val="center"/>
              <w:rPr>
                <w:rFonts w:ascii="楷体_GB2312" w:hAnsi="楷体_GB2312" w:eastAsia="楷体_GB2312" w:cs="楷体_GB2312"/>
                <w:color w:val="000000"/>
                <w:sz w:val="28"/>
                <w:szCs w:val="28"/>
                <w:lang w:val="en-US"/>
              </w:rPr>
            </w:pPr>
            <w:r>
              <w:rPr>
                <w:rFonts w:hint="eastAsia" w:ascii="楷体_GB2312" w:hAnsi="楷体_GB2312" w:eastAsia="楷体_GB2312" w:cs="楷体_GB2312"/>
                <w:color w:val="000000"/>
                <w:sz w:val="28"/>
                <w:szCs w:val="28"/>
                <w:lang w:val="en-US"/>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4D3C62D">
            <w:pPr>
              <w:adjustRightInd w:val="0"/>
              <w:snapToGrid w:val="0"/>
              <w:ind w:firstLine="480" w:firstLineChars="200"/>
              <w:jc w:val="both"/>
              <w:rPr>
                <w:rFonts w:hint="eastAsia" w:eastAsia="仿宋_GB2312"/>
                <w:lang w:val="en-US"/>
              </w:rPr>
            </w:pPr>
            <w:r>
              <w:rPr>
                <w:rFonts w:hint="eastAsia" w:eastAsia="仿宋_GB2312"/>
                <w:lang w:val="en-US"/>
              </w:rPr>
              <w:t>一、奖项设置</w:t>
            </w:r>
          </w:p>
          <w:p w14:paraId="7EE98400">
            <w:pPr>
              <w:adjustRightInd w:val="0"/>
              <w:snapToGrid w:val="0"/>
              <w:ind w:firstLine="480" w:firstLineChars="200"/>
              <w:jc w:val="both"/>
              <w:rPr>
                <w:rFonts w:hint="eastAsia" w:eastAsia="仿宋_GB2312"/>
                <w:lang w:val="en-US"/>
              </w:rPr>
            </w:pPr>
            <w:r>
              <w:rPr>
                <w:rFonts w:hint="eastAsia" w:eastAsia="仿宋_GB2312"/>
                <w:lang w:val="en-US" w:eastAsia="zh-CN"/>
              </w:rPr>
              <w:t>原则上设“擂主”团队1个，</w:t>
            </w:r>
            <w:r>
              <w:rPr>
                <w:rFonts w:hint="eastAsia" w:eastAsia="仿宋_GB2312"/>
                <w:lang w:val="en-US"/>
              </w:rPr>
              <w:t>根据实际情况评出相应的特等奖、一等奖、二等奖、三等奖项目若干。</w:t>
            </w:r>
          </w:p>
          <w:p w14:paraId="77B210BB">
            <w:pPr>
              <w:adjustRightInd w:val="0"/>
              <w:snapToGrid w:val="0"/>
              <w:ind w:firstLine="480" w:firstLineChars="200"/>
              <w:jc w:val="both"/>
              <w:rPr>
                <w:rFonts w:hint="eastAsia" w:eastAsia="仿宋_GB2312"/>
                <w:lang w:val="en-US"/>
              </w:rPr>
            </w:pPr>
            <w:r>
              <w:rPr>
                <w:rFonts w:hint="eastAsia" w:eastAsia="仿宋_GB2312"/>
                <w:lang w:val="en-US"/>
              </w:rPr>
              <w:t>二、 激励措施</w:t>
            </w:r>
          </w:p>
          <w:p w14:paraId="1845FD2F">
            <w:pPr>
              <w:adjustRightInd w:val="0"/>
              <w:snapToGrid w:val="0"/>
              <w:ind w:firstLine="480" w:firstLineChars="200"/>
              <w:jc w:val="both"/>
              <w:rPr>
                <w:rFonts w:hint="eastAsia" w:eastAsia="仿宋_GB2312"/>
                <w:lang w:val="en-US"/>
              </w:rPr>
            </w:pPr>
            <w:r>
              <w:rPr>
                <w:rFonts w:hint="eastAsia" w:eastAsia="仿宋_GB2312"/>
                <w:lang w:val="en-US" w:eastAsia="zh-CN"/>
              </w:rPr>
              <w:t>1.</w:t>
            </w:r>
            <w:r>
              <w:rPr>
                <w:rFonts w:hint="eastAsia" w:eastAsia="仿宋_GB2312"/>
                <w:lang w:val="en-US"/>
              </w:rPr>
              <w:t>提供与相关行业企业的深度合作和创业实践机会，帮助团队将项目转化为实际应用。</w:t>
            </w:r>
          </w:p>
          <w:p w14:paraId="60E0FBF1">
            <w:pPr>
              <w:adjustRightInd w:val="0"/>
              <w:snapToGrid w:val="0"/>
              <w:ind w:firstLine="480" w:firstLineChars="200"/>
              <w:jc w:val="both"/>
              <w:rPr>
                <w:rFonts w:ascii="仿宋_GB2312" w:hAnsi="仿宋_GB2312" w:eastAsia="仿宋_GB2312" w:cs="仿宋_GB2312"/>
                <w:bCs/>
                <w:color w:val="000000"/>
                <w:spacing w:val="6"/>
                <w:szCs w:val="28"/>
                <w:lang w:val="en-US"/>
              </w:rPr>
            </w:pPr>
            <w:r>
              <w:rPr>
                <w:rFonts w:hint="eastAsia" w:eastAsia="仿宋_GB2312"/>
                <w:lang w:val="en-US" w:eastAsia="zh-CN"/>
              </w:rPr>
              <w:t>2.</w:t>
            </w:r>
            <w:r>
              <w:rPr>
                <w:rFonts w:hint="eastAsia" w:eastAsia="仿宋_GB2312"/>
                <w:lang w:val="en-US"/>
              </w:rPr>
              <w:t>颁发奖杯和证书，在宣传推广、培训指导、交流展示人才招聘、创投对接等方面给予优先扶持。</w:t>
            </w:r>
          </w:p>
        </w:tc>
      </w:tr>
    </w:tbl>
    <w:p w14:paraId="539BEE05">
      <w:pPr>
        <w:tabs>
          <w:tab w:val="left" w:pos="8640"/>
        </w:tabs>
        <w:adjustRightInd w:val="0"/>
        <w:snapToGrid w:val="0"/>
        <w:spacing w:line="560" w:lineRule="exact"/>
        <w:rPr>
          <w:rFonts w:ascii="方正黑体简体" w:eastAsia="方正黑体简体"/>
          <w:bCs/>
          <w:spacing w:val="6"/>
          <w:sz w:val="32"/>
          <w:szCs w:val="32"/>
          <w:lang w:val="en-US"/>
        </w:rPr>
      </w:pPr>
      <w:r>
        <w:rPr>
          <w:rFonts w:hint="eastAsia" w:ascii="方正黑体简体" w:eastAsia="方正黑体简体"/>
          <w:bCs/>
          <w:spacing w:val="6"/>
          <w:sz w:val="32"/>
          <w:szCs w:val="32"/>
          <w:lang w:val="en-US"/>
        </w:rPr>
        <w:t>四、选题意义</w:t>
      </w:r>
    </w:p>
    <w:tbl>
      <w:tblPr>
        <w:tblStyle w:val="1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64333D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3BDE8A64">
            <w:pPr>
              <w:overflowPunct w:val="0"/>
              <w:adjustRightInd w:val="0"/>
              <w:snapToGrid w:val="0"/>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5487D6">
            <w:pPr>
              <w:overflowPunct w:val="0"/>
              <w:adjustRightInd w:val="0"/>
              <w:snapToGrid w:val="0"/>
              <w:ind w:firstLine="480" w:firstLineChars="200"/>
              <w:rPr>
                <w:rFonts w:ascii="仿宋_GB2312" w:hAnsi="仿宋_GB2312" w:eastAsia="仿宋_GB2312" w:cs="仿宋_GB2312"/>
                <w:bCs/>
                <w:color w:val="000000"/>
                <w:spacing w:val="6"/>
                <w:szCs w:val="28"/>
              </w:rPr>
            </w:pPr>
            <w:r>
              <w:rPr>
                <w:rFonts w:hint="eastAsia" w:eastAsia="仿宋_GB2312"/>
              </w:rPr>
              <w:t>本项目致力于突破国产商业卫星遥感在边疆地区复杂环境下自动化程度低、模型泛化性差的技术难题。针对边疆地区幅员辽阔、地形复杂、地物异质性强等挑战，研发适配不同下游应用的遥感解译基础模型，将改变针对单一任务训练专家模型的研发范式。这一技术突破不仅能显著提升当前遥感解译模型在边疆稀缺场景下的鲁棒性，更可为实现遥感领域的全产业链自主可控与智能升级提供关键算法支撑。</w:t>
            </w:r>
          </w:p>
        </w:tc>
      </w:tr>
      <w:tr w14:paraId="7E6B33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0C01F6">
            <w:pPr>
              <w:overflowPunct w:val="0"/>
              <w:adjustRightInd w:val="0"/>
              <w:snapToGrid w:val="0"/>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2217AC">
            <w:pPr>
              <w:overflowPunct w:val="0"/>
              <w:adjustRightInd w:val="0"/>
              <w:snapToGrid w:val="0"/>
              <w:ind w:firstLine="480" w:firstLineChars="200"/>
              <w:rPr>
                <w:rFonts w:ascii="仿宋_GB2312" w:hAnsi="仿宋_GB2312" w:eastAsia="仿宋_GB2312" w:cs="仿宋_GB2312"/>
                <w:bCs/>
                <w:color w:val="000000"/>
                <w:spacing w:val="6"/>
                <w:szCs w:val="28"/>
              </w:rPr>
            </w:pPr>
            <w:r>
              <w:rPr>
                <w:rFonts w:hint="eastAsia" w:eastAsia="仿宋_GB2312"/>
              </w:rPr>
              <w:t>在经济层面，通过建立高效的商业卫星遥感智能解译体系，可极大降低边疆地区资源勘探、能源监测的人力物力投入，提升国产商业卫星数据的附加值，带动我国商业航天产业向高价值链延伸。在社会层面，本项目能够为我国边疆地区基础设施保护、突发地质灾害应急响应及生态环境常态化监测提供精准的决策依据，对维护国家主权安全、助力边疆地区高质量发展以及推动区域协调发展战略具有深远的现实意义。</w:t>
            </w:r>
          </w:p>
        </w:tc>
      </w:tr>
    </w:tbl>
    <w:p w14:paraId="76ACC22E">
      <w:pPr>
        <w:rPr>
          <w:rFonts w:hint="eastAsia" w:ascii="楷体_GB2312" w:hAnsi="楷体_GB2312" w:eastAsia="楷体_GB2312" w:cs="楷体_GB2312"/>
        </w:rPr>
      </w:pPr>
      <w:r>
        <w:rPr>
          <w:rFonts w:hint="eastAsia" w:ascii="楷体_GB2312" w:hAnsi="楷体_GB2312" w:eastAsia="楷体_GB2312" w:cs="楷体_GB2312"/>
        </w:rPr>
        <w:br w:type="page"/>
      </w:r>
    </w:p>
    <w:p w14:paraId="48DFFC82">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“青智未来”新质生产力</w:t>
      </w:r>
      <w:r>
        <w:rPr>
          <w:rFonts w:hint="default" w:ascii="Times New Roman" w:hAnsi="Times New Roman" w:eastAsia="方正小标宋简体" w:cs="Times New Roman"/>
          <w:b w:val="0"/>
          <w:bCs/>
          <w:kern w:val="2"/>
          <w:sz w:val="44"/>
          <w:szCs w:val="32"/>
          <w:highlight w:val="none"/>
          <w:lang w:val="en-US" w:eastAsia="zh-CN"/>
        </w:rPr>
        <w:t>专项赛</w:t>
      </w:r>
    </w:p>
    <w:p w14:paraId="3A75DC11">
      <w:pPr>
        <w:keepNext w:val="0"/>
        <w:keepLines w:val="0"/>
        <w:pageBreakBefore w:val="0"/>
        <w:widowControl w:val="0"/>
        <w:tabs>
          <w:tab w:val="left" w:pos="8640"/>
        </w:tabs>
        <w:kinsoku/>
        <w:wordWrap w:val="0"/>
        <w:topLinePunct w:val="0"/>
        <w:autoSpaceDE/>
        <w:autoSpaceDN/>
        <w:bidi w:val="0"/>
        <w:adjustRightInd w:val="0"/>
        <w:snapToGrid w:val="0"/>
        <w:spacing w:line="560" w:lineRule="exact"/>
        <w:jc w:val="center"/>
        <w:rPr>
          <w:rFonts w:hint="default" w:ascii="Times New Roman" w:hAnsi="Times New Roman" w:eastAsia="方正小标宋简体" w:cs="Times New Roman"/>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—1</w:t>
      </w:r>
      <w:r>
        <w:rPr>
          <w:rFonts w:hint="eastAsia" w:eastAsia="方正小标宋简体" w:cs="方正小标宋简体"/>
          <w:b w:val="0"/>
          <w:bCs/>
          <w:kern w:val="2"/>
          <w:sz w:val="44"/>
          <w:szCs w:val="32"/>
          <w:highlight w:val="none"/>
          <w:lang w:val="en-US" w:eastAsia="zh-CN"/>
        </w:rPr>
        <w:t>4</w:t>
      </w:r>
    </w:p>
    <w:p w14:paraId="1FD0A36F">
      <w:pPr>
        <w:keepNext w:val="0"/>
        <w:keepLines w:val="0"/>
        <w:pageBreakBefore w:val="0"/>
        <w:widowControl w:val="0"/>
        <w:tabs>
          <w:tab w:val="left" w:pos="8640"/>
        </w:tabs>
        <w:kinsoku/>
        <w:wordWrap w:val="0"/>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b w:val="0"/>
          <w:bCs/>
          <w:kern w:val="2"/>
          <w:sz w:val="32"/>
          <w:szCs w:val="22"/>
          <w:highlight w:val="none"/>
          <w:lang w:val="en-US" w:eastAsia="zh-CN"/>
        </w:rPr>
      </w:pPr>
    </w:p>
    <w:p w14:paraId="2D9166A9">
      <w:pPr>
        <w:tabs>
          <w:tab w:val="left" w:pos="8640"/>
        </w:tabs>
        <w:adjustRightInd w:val="0"/>
        <w:snapToGrid w:val="0"/>
        <w:spacing w:line="560" w:lineRule="exact"/>
        <w:rPr>
          <w:rFonts w:hint="eastAsia" w:ascii="方正楷体简体" w:hAnsi="方正楷体简体" w:eastAsia="方正楷体简体" w:cs="方正楷体简体"/>
          <w:bCs/>
          <w:spacing w:val="6"/>
          <w:highlight w:val="none"/>
        </w:rPr>
      </w:pPr>
      <w:r>
        <w:rPr>
          <w:rFonts w:hint="eastAsia" w:ascii="方正黑体简体" w:eastAsia="方正黑体简体"/>
          <w:bCs/>
          <w:spacing w:val="6"/>
          <w:sz w:val="32"/>
          <w:szCs w:val="32"/>
          <w:highlight w:val="none"/>
        </w:rPr>
        <w:t>一、单位信息</w:t>
      </w:r>
    </w:p>
    <w:tbl>
      <w:tblPr>
        <w:tblStyle w:val="11"/>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3C5AD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72CA40C4">
            <w:pPr>
              <w:adjustRightInd w:val="0"/>
              <w:spacing w:line="560" w:lineRule="exact"/>
              <w:jc w:val="center"/>
              <w:rPr>
                <w:rFonts w:hint="eastAsia" w:ascii="楷体_GB2312" w:hAnsi="楷体_GB2312" w:eastAsia="楷体_GB2312" w:cs="楷体_GB2312"/>
                <w:sz w:val="28"/>
                <w:szCs w:val="32"/>
                <w:highlight w:val="none"/>
              </w:rPr>
            </w:pPr>
            <w:r>
              <w:rPr>
                <w:rFonts w:hint="eastAsia" w:ascii="楷体_GB2312" w:hAnsi="楷体_GB2312" w:eastAsia="楷体_GB2312" w:cs="楷体_GB2312"/>
                <w:sz w:val="28"/>
                <w:szCs w:val="32"/>
                <w:highlight w:val="none"/>
              </w:rPr>
              <w:t>单位名称</w:t>
            </w:r>
          </w:p>
        </w:tc>
        <w:tc>
          <w:tcPr>
            <w:tcW w:w="6932" w:type="dxa"/>
            <w:gridSpan w:val="3"/>
            <w:vAlign w:val="center"/>
          </w:tcPr>
          <w:p w14:paraId="068FD44A">
            <w:pPr>
              <w:adjustRightInd w:val="0"/>
              <w:snapToGrid w:val="0"/>
              <w:jc w:val="center"/>
              <w:rPr>
                <w:rFonts w:hint="eastAsia" w:ascii="仿宋_GB2312" w:hAnsi="仿宋_GB2312" w:eastAsia="仿宋_GB2312" w:cs="仿宋_GB2312"/>
                <w:highlight w:val="none"/>
              </w:rPr>
            </w:pPr>
            <w:r>
              <w:rPr>
                <w:rFonts w:ascii="仿宋_GB2312" w:hAnsi="仿宋_GB2312" w:eastAsia="仿宋_GB2312" w:cs="仿宋_GB2312"/>
                <w:bCs/>
                <w:spacing w:val="6"/>
                <w:szCs w:val="28"/>
                <w:highlight w:val="none"/>
                <w:lang w:val="en-US"/>
              </w:rPr>
              <w:t>北京国天事业气象科技有限公司</w:t>
            </w:r>
          </w:p>
        </w:tc>
      </w:tr>
      <w:tr w14:paraId="50A1F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607DF1FF">
            <w:pPr>
              <w:adjustRightInd w:val="0"/>
              <w:snapToGrid w:val="0"/>
              <w:jc w:val="center"/>
              <w:rPr>
                <w:rFonts w:hint="eastAsia" w:ascii="楷体_GB2312" w:hAnsi="楷体_GB2312" w:eastAsia="楷体_GB2312" w:cs="楷体_GB2312"/>
                <w:bCs/>
                <w:spacing w:val="6"/>
                <w:szCs w:val="28"/>
                <w:highlight w:val="none"/>
                <w:lang w:val="en-US"/>
              </w:rPr>
            </w:pPr>
            <w:r>
              <w:rPr>
                <w:rFonts w:hint="eastAsia" w:ascii="楷体_GB2312" w:hAnsi="楷体_GB2312" w:eastAsia="楷体_GB2312" w:cs="楷体_GB2312"/>
                <w:sz w:val="28"/>
                <w:szCs w:val="32"/>
                <w:highlight w:val="none"/>
                <w:lang w:val="en-US"/>
              </w:rPr>
              <w:t>单位类型</w:t>
            </w:r>
          </w:p>
        </w:tc>
        <w:tc>
          <w:tcPr>
            <w:tcW w:w="6932" w:type="dxa"/>
            <w:gridSpan w:val="3"/>
            <w:vAlign w:val="center"/>
          </w:tcPr>
          <w:p w14:paraId="7AA8472D">
            <w:pPr>
              <w:adjustRightInd w:val="0"/>
              <w:snapToGrid w:val="0"/>
              <w:jc w:val="center"/>
              <w:rPr>
                <w:rFonts w:hint="eastAsia" w:ascii="仿宋_GB2312" w:hAnsi="仿宋_GB2312" w:eastAsia="仿宋_GB2312" w:cs="仿宋_GB2312"/>
                <w:bCs/>
                <w:spacing w:val="6"/>
                <w:szCs w:val="28"/>
                <w:highlight w:val="none"/>
                <w:lang w:val="en-US" w:eastAsia="zh-CN"/>
              </w:rPr>
            </w:pPr>
            <w:r>
              <w:rPr>
                <w:rFonts w:hint="eastAsia" w:ascii="仿宋_GB2312" w:hAnsi="仿宋_GB2312" w:eastAsia="仿宋_GB2312" w:cs="仿宋_GB2312"/>
                <w:bCs/>
                <w:spacing w:val="6"/>
                <w:szCs w:val="28"/>
                <w:highlight w:val="none"/>
                <w:lang w:val="en-US" w:eastAsia="zh-CN"/>
              </w:rPr>
              <w:t>国有企业</w:t>
            </w:r>
          </w:p>
        </w:tc>
      </w:tr>
      <w:tr w14:paraId="01D8D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72E5D83F">
            <w:pPr>
              <w:adjustRightInd w:val="0"/>
              <w:spacing w:line="560" w:lineRule="exact"/>
              <w:jc w:val="center"/>
              <w:rPr>
                <w:rFonts w:hint="eastAsia" w:ascii="楷体_GB2312" w:hAnsi="楷体_GB2312" w:eastAsia="楷体_GB2312" w:cs="楷体_GB2312"/>
                <w:sz w:val="28"/>
                <w:szCs w:val="32"/>
                <w:highlight w:val="none"/>
              </w:rPr>
            </w:pPr>
            <w:r>
              <w:rPr>
                <w:rFonts w:hint="eastAsia" w:ascii="楷体_GB2312" w:hAnsi="楷体_GB2312" w:eastAsia="楷体_GB2312" w:cs="楷体_GB2312"/>
                <w:sz w:val="28"/>
                <w:szCs w:val="32"/>
                <w:highlight w:val="none"/>
              </w:rPr>
              <w:t>地址</w:t>
            </w:r>
          </w:p>
        </w:tc>
        <w:tc>
          <w:tcPr>
            <w:tcW w:w="6932" w:type="dxa"/>
            <w:gridSpan w:val="3"/>
            <w:vAlign w:val="center"/>
          </w:tcPr>
          <w:p w14:paraId="2386F110">
            <w:pPr>
              <w:adjustRightInd w:val="0"/>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北京市昌平区振兴路2号院</w:t>
            </w:r>
          </w:p>
        </w:tc>
      </w:tr>
      <w:tr w14:paraId="7EFC5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39891136">
            <w:pPr>
              <w:adjustRightInd w:val="0"/>
              <w:spacing w:line="560" w:lineRule="exact"/>
              <w:jc w:val="center"/>
              <w:rPr>
                <w:rFonts w:hint="eastAsia" w:ascii="楷体_GB2312" w:hAnsi="楷体_GB2312" w:eastAsia="楷体_GB2312" w:cs="楷体_GB2312"/>
                <w:sz w:val="28"/>
                <w:szCs w:val="32"/>
                <w:highlight w:val="none"/>
              </w:rPr>
            </w:pPr>
            <w:r>
              <w:rPr>
                <w:rFonts w:hint="eastAsia" w:ascii="楷体_GB2312" w:hAnsi="楷体_GB2312" w:eastAsia="楷体_GB2312" w:cs="楷体_GB2312"/>
                <w:sz w:val="28"/>
                <w:szCs w:val="32"/>
                <w:highlight w:val="none"/>
                <w:lang w:val="en-US"/>
              </w:rPr>
              <w:t>单位</w:t>
            </w:r>
            <w:r>
              <w:rPr>
                <w:rFonts w:hint="eastAsia" w:ascii="楷体_GB2312" w:hAnsi="楷体_GB2312" w:eastAsia="楷体_GB2312" w:cs="楷体_GB2312"/>
                <w:sz w:val="28"/>
                <w:szCs w:val="32"/>
                <w:highlight w:val="none"/>
              </w:rPr>
              <w:t>简介</w:t>
            </w:r>
          </w:p>
        </w:tc>
        <w:tc>
          <w:tcPr>
            <w:tcW w:w="6932" w:type="dxa"/>
            <w:gridSpan w:val="3"/>
            <w:vAlign w:val="center"/>
          </w:tcPr>
          <w:p w14:paraId="2493F641">
            <w:pPr>
              <w:adjustRightInd w:val="0"/>
              <w:snapToGrid w:val="0"/>
              <w:jc w:val="both"/>
              <w:rPr>
                <w:rFonts w:hint="eastAsia" w:ascii="仿宋_GB2312" w:hAnsi="仿宋_GB2312" w:eastAsia="仿宋_GB2312" w:cs="仿宋_GB2312"/>
                <w:bCs/>
                <w:spacing w:val="6"/>
                <w:szCs w:val="28"/>
                <w:highlight w:val="none"/>
              </w:rPr>
            </w:pPr>
            <w:r>
              <w:rPr>
                <w:rFonts w:hint="eastAsia" w:ascii="仿宋_GB2312" w:hAnsi="仿宋_GB2312" w:eastAsia="仿宋_GB2312" w:cs="仿宋_GB2312"/>
                <w:bCs/>
                <w:spacing w:val="6"/>
                <w:szCs w:val="28"/>
                <w:highlight w:val="none"/>
                <w:lang w:val="en-US"/>
              </w:rPr>
              <w:t>中国气象科技产业园于2013年由中国气象局和北京市人民政府合作共建。运营主体为北京国天事业气象科技有限公司，归属中国气象局下属国有企业华风气象传媒集团有限责任公司管理，主要承担中国气象科技产业园资产运营管理工作。园区位于北京市昌平区振兴路2号院，占地2.5万m，总建筑面积约5.9万m。共有5栋办公楼，其中地上共八层，面积4.4万m;地下一层，面积1.5万m。园区公共服务配套有气象产业孵化中心、商务洽谈中心、健身中心、职工餐厅、停车场，公共服务面积约6200m2。园区通过招商引资和招才引智，已初步完成产业聚集和资源融合，未来将以孵化转化为核心，促进气象科技创新成果应用推广和产学研融合发展，为气象科技产业发展注入新动能。同时园区将一如既往持续深耕气象科技服务领域，发挥气象工作的基础性支撑作用，以气象产业服务为平台，打造融合、开放、共享的气象+产业生态圈，助推气象产业转型升级和气象高质量发展。截止目前，园区整体入住率94%，入驻企业80余家，国家级专精特新小巨人企业1家，北京市专精特新中小企业5家，瞪羚企业9家，国家级高新技术企业24家，中关村高新技术企业16家。</w:t>
            </w:r>
          </w:p>
        </w:tc>
      </w:tr>
      <w:tr w14:paraId="7398F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2F47F774">
            <w:pPr>
              <w:adjustRightInd w:val="0"/>
              <w:snapToGrid w:val="0"/>
              <w:ind w:firstLine="280" w:firstLineChars="100"/>
              <w:jc w:val="both"/>
              <w:rPr>
                <w:rFonts w:hint="eastAsia" w:ascii="楷体_GB2312" w:hAnsi="楷体_GB2312" w:eastAsia="楷体_GB2312" w:cs="楷体_GB2312"/>
                <w:bCs/>
                <w:spacing w:val="6"/>
                <w:szCs w:val="28"/>
                <w:highlight w:val="none"/>
              </w:rPr>
            </w:pPr>
            <w:r>
              <w:rPr>
                <w:rFonts w:hint="eastAsia" w:ascii="楷体_GB2312" w:hAnsi="楷体_GB2312" w:eastAsia="楷体_GB2312" w:cs="楷体_GB2312"/>
                <w:sz w:val="28"/>
                <w:szCs w:val="32"/>
                <w:highlight w:val="none"/>
                <w:lang w:val="en-US"/>
              </w:rPr>
              <w:t>联系人</w:t>
            </w:r>
          </w:p>
        </w:tc>
        <w:tc>
          <w:tcPr>
            <w:tcW w:w="3076" w:type="dxa"/>
            <w:vAlign w:val="center"/>
          </w:tcPr>
          <w:p w14:paraId="031A75C1">
            <w:pPr>
              <w:adjustRightInd w:val="0"/>
              <w:snapToGrid w:val="0"/>
              <w:jc w:val="both"/>
              <w:rPr>
                <w:rFonts w:hint="eastAsia" w:ascii="仿宋_GB2312" w:hAnsi="仿宋_GB2312" w:eastAsia="仿宋_GB2312" w:cs="仿宋_GB2312"/>
                <w:bCs/>
                <w:spacing w:val="6"/>
                <w:szCs w:val="28"/>
                <w:highlight w:val="none"/>
                <w:lang w:val="en-US" w:eastAsia="zh-CN"/>
              </w:rPr>
            </w:pPr>
            <w:r>
              <w:rPr>
                <w:rFonts w:hint="eastAsia" w:ascii="仿宋_GB2312" w:hAnsi="仿宋_GB2312" w:eastAsia="仿宋_GB2312" w:cs="仿宋_GB2312"/>
                <w:bCs/>
                <w:spacing w:val="6"/>
                <w:szCs w:val="28"/>
                <w:highlight w:val="none"/>
                <w:lang w:val="en-US" w:eastAsia="zh-CN"/>
              </w:rPr>
              <w:t>刘勇</w:t>
            </w:r>
          </w:p>
        </w:tc>
        <w:tc>
          <w:tcPr>
            <w:tcW w:w="1073" w:type="dxa"/>
            <w:vAlign w:val="center"/>
          </w:tcPr>
          <w:p w14:paraId="61A1D339">
            <w:pPr>
              <w:adjustRightInd w:val="0"/>
              <w:spacing w:line="560" w:lineRule="exact"/>
              <w:jc w:val="center"/>
              <w:rPr>
                <w:rFonts w:hint="eastAsia" w:ascii="楷体_GB2312" w:hAnsi="楷体_GB2312" w:eastAsia="楷体_GB2312" w:cs="楷体_GB2312"/>
                <w:sz w:val="28"/>
                <w:szCs w:val="32"/>
                <w:highlight w:val="none"/>
              </w:rPr>
            </w:pPr>
            <w:r>
              <w:rPr>
                <w:rFonts w:hint="eastAsia" w:ascii="楷体_GB2312" w:hAnsi="楷体_GB2312" w:eastAsia="楷体_GB2312" w:cs="楷体_GB2312"/>
                <w:sz w:val="28"/>
                <w:szCs w:val="32"/>
                <w:highlight w:val="none"/>
              </w:rPr>
              <w:t>职务</w:t>
            </w:r>
          </w:p>
        </w:tc>
        <w:tc>
          <w:tcPr>
            <w:tcW w:w="2783" w:type="dxa"/>
            <w:vAlign w:val="center"/>
          </w:tcPr>
          <w:p w14:paraId="3C61B6D0">
            <w:pPr>
              <w:adjustRightInd w:val="0"/>
              <w:jc w:val="center"/>
              <w:rPr>
                <w:rFonts w:hint="eastAsia" w:eastAsia="方正仿宋简体"/>
                <w:highlight w:val="none"/>
                <w:lang w:val="en-US" w:eastAsia="zh-CN"/>
              </w:rPr>
            </w:pPr>
            <w:r>
              <w:rPr>
                <w:rFonts w:hint="eastAsia" w:eastAsia="方正仿宋简体"/>
                <w:highlight w:val="none"/>
                <w:lang w:val="en-US" w:eastAsia="zh-CN"/>
              </w:rPr>
              <w:t>总经理</w:t>
            </w:r>
          </w:p>
        </w:tc>
      </w:tr>
      <w:tr w14:paraId="2CBCB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6411C56C">
            <w:pPr>
              <w:adjustRightInd w:val="0"/>
              <w:snapToGrid w:val="0"/>
              <w:jc w:val="center"/>
              <w:rPr>
                <w:rFonts w:hint="eastAsia" w:ascii="楷体_GB2312" w:hAnsi="楷体_GB2312" w:eastAsia="楷体_GB2312" w:cs="楷体_GB2312"/>
                <w:bCs/>
                <w:spacing w:val="6"/>
                <w:szCs w:val="28"/>
                <w:highlight w:val="none"/>
                <w:lang w:val="en-US"/>
              </w:rPr>
            </w:pPr>
            <w:r>
              <w:rPr>
                <w:rFonts w:hint="eastAsia" w:ascii="楷体_GB2312" w:hAnsi="楷体_GB2312" w:eastAsia="楷体_GB2312" w:cs="楷体_GB2312"/>
                <w:sz w:val="28"/>
                <w:szCs w:val="32"/>
                <w:highlight w:val="none"/>
                <w:lang w:val="en-US"/>
              </w:rPr>
              <w:t>联系方式</w:t>
            </w:r>
          </w:p>
        </w:tc>
        <w:tc>
          <w:tcPr>
            <w:tcW w:w="3076" w:type="dxa"/>
            <w:vAlign w:val="center"/>
          </w:tcPr>
          <w:p w14:paraId="7C0FF711">
            <w:pPr>
              <w:adjustRightInd w:val="0"/>
              <w:snapToGrid w:val="0"/>
              <w:jc w:val="both"/>
              <w:rPr>
                <w:rFonts w:hint="default" w:ascii="仿宋_GB2312" w:hAnsi="仿宋_GB2312" w:eastAsia="仿宋_GB2312" w:cs="仿宋_GB2312"/>
                <w:bCs/>
                <w:spacing w:val="6"/>
                <w:szCs w:val="28"/>
                <w:highlight w:val="none"/>
                <w:lang w:val="en-US" w:eastAsia="zh-CN"/>
              </w:rPr>
            </w:pPr>
            <w:r>
              <w:rPr>
                <w:rFonts w:hint="eastAsia" w:ascii="仿宋_GB2312" w:hAnsi="仿宋_GB2312" w:eastAsia="仿宋_GB2312" w:cs="仿宋_GB2312"/>
                <w:bCs/>
                <w:spacing w:val="6"/>
                <w:szCs w:val="28"/>
                <w:highlight w:val="none"/>
                <w:lang w:val="en-US" w:eastAsia="zh-CN"/>
              </w:rPr>
              <w:t>13911058851</w:t>
            </w:r>
          </w:p>
        </w:tc>
        <w:tc>
          <w:tcPr>
            <w:tcW w:w="1073" w:type="dxa"/>
            <w:vAlign w:val="center"/>
          </w:tcPr>
          <w:p w14:paraId="1E1D0C23">
            <w:pPr>
              <w:adjustRightInd w:val="0"/>
              <w:spacing w:line="560" w:lineRule="exact"/>
              <w:jc w:val="center"/>
              <w:rPr>
                <w:rFonts w:hint="eastAsia" w:ascii="楷体_GB2312" w:hAnsi="楷体_GB2312" w:eastAsia="楷体_GB2312" w:cs="楷体_GB2312"/>
                <w:sz w:val="28"/>
                <w:szCs w:val="32"/>
                <w:highlight w:val="none"/>
              </w:rPr>
            </w:pPr>
            <w:r>
              <w:rPr>
                <w:rFonts w:hint="eastAsia" w:ascii="楷体_GB2312" w:hAnsi="楷体_GB2312" w:eastAsia="楷体_GB2312" w:cs="楷体_GB2312"/>
                <w:sz w:val="28"/>
                <w:szCs w:val="32"/>
                <w:highlight w:val="none"/>
              </w:rPr>
              <w:t>微信</w:t>
            </w:r>
          </w:p>
        </w:tc>
        <w:tc>
          <w:tcPr>
            <w:tcW w:w="2783" w:type="dxa"/>
            <w:vAlign w:val="center"/>
          </w:tcPr>
          <w:p w14:paraId="5A3F7956">
            <w:pPr>
              <w:adjustRightInd w:val="0"/>
              <w:jc w:val="center"/>
              <w:rPr>
                <w:rFonts w:eastAsia="方正仿宋简体"/>
                <w:highlight w:val="none"/>
              </w:rPr>
            </w:pPr>
          </w:p>
        </w:tc>
      </w:tr>
    </w:tbl>
    <w:p w14:paraId="1D6AB17C">
      <w:pPr>
        <w:tabs>
          <w:tab w:val="left" w:pos="8640"/>
        </w:tabs>
        <w:adjustRightInd w:val="0"/>
        <w:snapToGrid w:val="0"/>
        <w:spacing w:line="560" w:lineRule="exact"/>
        <w:rPr>
          <w:rFonts w:ascii="方正黑体简体" w:eastAsia="方正黑体简体"/>
          <w:bCs/>
          <w:spacing w:val="6"/>
          <w:sz w:val="32"/>
          <w:szCs w:val="32"/>
        </w:rPr>
      </w:pPr>
      <w:r>
        <w:rPr>
          <w:rFonts w:hint="eastAsia" w:ascii="方正黑体简体" w:eastAsia="方正黑体简体"/>
          <w:bCs/>
          <w:spacing w:val="6"/>
          <w:sz w:val="32"/>
          <w:szCs w:val="32"/>
        </w:rPr>
        <w:t>二、选题说明</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7D46B1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98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5E09D70">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lang w:val="en-US"/>
              </w:rPr>
              <w:t>选题</w:t>
            </w:r>
            <w:r>
              <w:rPr>
                <w:rFonts w:hint="eastAsia" w:ascii="楷体_GB2312" w:hAnsi="楷体_GB2312" w:eastAsia="楷体_GB2312" w:cs="楷体_GB2312"/>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7F14D40">
            <w:pPr>
              <w:adjustRightInd w:val="0"/>
              <w:snapToGrid w:val="0"/>
              <w:ind w:firstLine="504" w:firstLineChars="200"/>
              <w:jc w:val="both"/>
              <w:rPr>
                <w:rFonts w:hint="eastAsia" w:ascii="仿宋_GB2312" w:hAnsi="仿宋_GB2312" w:eastAsia="仿宋_GB2312" w:cs="仿宋_GB2312"/>
                <w:color w:val="000000"/>
              </w:rPr>
            </w:pPr>
            <w:r>
              <w:rPr>
                <w:rFonts w:ascii="仿宋_GB2312" w:hAnsi="仿宋_GB2312" w:eastAsia="仿宋_GB2312" w:cs="仿宋_GB2312"/>
                <w:bCs/>
                <w:color w:val="000000"/>
                <w:spacing w:val="6"/>
                <w:szCs w:val="28"/>
              </w:rPr>
              <w:t>多尺度地貌监测系统设计</w:t>
            </w:r>
          </w:p>
        </w:tc>
      </w:tr>
      <w:tr w14:paraId="2C0667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8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1099281">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A582DB6">
            <w:pPr>
              <w:adjustRightInd w:val="0"/>
              <w:snapToGrid w:val="0"/>
              <w:ind w:firstLine="504" w:firstLineChars="200"/>
              <w:jc w:val="both"/>
              <w:rPr>
                <w:rFonts w:hint="eastAsia" w:ascii="仿宋_GB2312" w:hAnsi="仿宋_GB2312" w:eastAsia="仿宋_GB2312" w:cs="仿宋_GB2312"/>
                <w:color w:val="000000"/>
              </w:rPr>
            </w:pPr>
            <w:r>
              <w:rPr>
                <w:rFonts w:hint="eastAsia" w:ascii="仿宋_GB2312" w:hAnsi="仿宋_GB2312" w:eastAsia="仿宋_GB2312" w:cs="仿宋_GB2312"/>
                <w:bCs/>
                <w:color w:val="000000"/>
                <w:spacing w:val="6"/>
                <w:szCs w:val="28"/>
                <w:lang w:val="en-US"/>
              </w:rPr>
              <w:t>新一代信息技术、人工智能</w:t>
            </w:r>
          </w:p>
        </w:tc>
      </w:tr>
      <w:tr w14:paraId="15E5AB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65"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56AF39B">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F570DD8">
            <w:pPr>
              <w:adjustRightInd w:val="0"/>
              <w:snapToGrid w:val="0"/>
              <w:ind w:firstLine="504" w:firstLineChars="200"/>
              <w:jc w:val="both"/>
              <w:rPr>
                <w:rFonts w:ascii="仿宋_GB2312" w:hAnsi="仿宋_GB2312" w:eastAsia="仿宋_GB2312" w:cs="仿宋_GB2312"/>
                <w:bCs/>
                <w:color w:val="000000"/>
                <w:spacing w:val="6"/>
                <w:szCs w:val="28"/>
                <w:lang w:val="en-US"/>
              </w:rPr>
            </w:pPr>
            <w:r>
              <w:rPr>
                <w:rFonts w:ascii="仿宋_GB2312" w:hAnsi="仿宋_GB2312" w:eastAsia="仿宋_GB2312" w:cs="仿宋_GB2312"/>
                <w:bCs/>
                <w:color w:val="000000"/>
                <w:spacing w:val="6"/>
                <w:szCs w:val="28"/>
                <w:lang w:val="en-US"/>
              </w:rPr>
              <w:t xml:space="preserve">1 </w:t>
            </w:r>
            <w:r>
              <w:rPr>
                <w:rFonts w:hint="eastAsia" w:ascii="仿宋_GB2312" w:hAnsi="仿宋_GB2312" w:eastAsia="仿宋_GB2312" w:cs="仿宋_GB2312"/>
                <w:bCs/>
                <w:color w:val="000000"/>
                <w:spacing w:val="6"/>
                <w:szCs w:val="28"/>
                <w:lang w:val="en-US"/>
              </w:rPr>
              <w:t>选题背景</w:t>
            </w:r>
          </w:p>
          <w:p w14:paraId="69BAE697">
            <w:pPr>
              <w:adjustRightInd w:val="0"/>
              <w:snapToGrid w:val="0"/>
              <w:ind w:firstLine="504" w:firstLineChars="200"/>
              <w:jc w:val="both"/>
              <w:rPr>
                <w:rFonts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随着全球气候变化加剧、城市化进程快速推进以及重大工程建设的广泛开展，地表形态正经历前所未有的剧烈变化。滑坡、泥石流、地面沉降、海岸侵蚀等地质灾害频发，对人民生命财产安全、重大基础设施运营和生态环境安全构成严重威胁。传统的地貌监测手段多依赖单点测量、周期性人工巡查或单一遥感平台，存在监测尺度单一、时空分辨率不足、实时性差、自动化程度低等突出问题，难以满足对地貌过程“全天候、全覆盖、全要素、高精度、智能化”的现代化监测预警需求。因此，亟需设计一套集成天基（卫星）、空基（无人机</w:t>
            </w:r>
            <w:r>
              <w:rPr>
                <w:rFonts w:ascii="仿宋_GB2312" w:hAnsi="仿宋_GB2312" w:eastAsia="仿宋_GB2312" w:cs="仿宋_GB2312"/>
                <w:bCs/>
                <w:color w:val="000000"/>
                <w:spacing w:val="6"/>
                <w:szCs w:val="28"/>
                <w:lang w:val="en-US"/>
              </w:rPr>
              <w:t>/</w:t>
            </w:r>
            <w:r>
              <w:rPr>
                <w:rFonts w:hint="eastAsia" w:ascii="仿宋_GB2312" w:hAnsi="仿宋_GB2312" w:eastAsia="仿宋_GB2312" w:cs="仿宋_GB2312"/>
                <w:bCs/>
                <w:color w:val="000000"/>
                <w:spacing w:val="6"/>
                <w:szCs w:val="28"/>
                <w:lang w:val="en-US"/>
              </w:rPr>
              <w:t>航空）、地基（传感器网络）等多平台，融合多源遥感、物联网、人工智能等前沿技术的“多尺度地貌监测系统”，实现对地表形变与地貌过程的立体、动态、智能感知。</w:t>
            </w:r>
          </w:p>
          <w:p w14:paraId="422D27DD">
            <w:pPr>
              <w:adjustRightInd w:val="0"/>
              <w:snapToGrid w:val="0"/>
              <w:ind w:firstLine="504" w:firstLineChars="200"/>
              <w:jc w:val="both"/>
              <w:rPr>
                <w:rFonts w:ascii="仿宋_GB2312" w:hAnsi="仿宋_GB2312" w:eastAsia="仿宋_GB2312" w:cs="仿宋_GB2312"/>
                <w:bCs/>
                <w:color w:val="000000"/>
                <w:spacing w:val="6"/>
                <w:szCs w:val="28"/>
                <w:lang w:val="en-US"/>
              </w:rPr>
            </w:pPr>
            <w:r>
              <w:rPr>
                <w:rFonts w:ascii="仿宋_GB2312" w:hAnsi="仿宋_GB2312" w:eastAsia="仿宋_GB2312" w:cs="仿宋_GB2312"/>
                <w:bCs/>
                <w:color w:val="000000"/>
                <w:spacing w:val="6"/>
                <w:szCs w:val="28"/>
                <w:lang w:val="en-US"/>
              </w:rPr>
              <w:t xml:space="preserve">2 </w:t>
            </w:r>
            <w:r>
              <w:rPr>
                <w:rFonts w:hint="eastAsia" w:ascii="仿宋_GB2312" w:hAnsi="仿宋_GB2312" w:eastAsia="仿宋_GB2312" w:cs="仿宋_GB2312"/>
                <w:bCs/>
                <w:color w:val="000000"/>
                <w:spacing w:val="6"/>
                <w:szCs w:val="28"/>
                <w:lang w:val="en-US"/>
              </w:rPr>
              <w:t>核心需求</w:t>
            </w:r>
          </w:p>
          <w:p w14:paraId="595F3089">
            <w:pPr>
              <w:adjustRightInd w:val="0"/>
              <w:snapToGrid w:val="0"/>
              <w:ind w:firstLine="504" w:firstLineChars="200"/>
              <w:jc w:val="both"/>
              <w:rPr>
                <w:rFonts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多尺度融合需求：系统需无缝衔接宏观区域（百公里级，如流域、城市群）、中观局部（公里至十公里级，如重点边坡、矿区）和微观点位（米级，如单个裂缝、桩基）的监测数据，实现从面到点的精准聚焦与关联分析。</w:t>
            </w:r>
          </w:p>
          <w:p w14:paraId="33D5DD26">
            <w:pPr>
              <w:adjustRightInd w:val="0"/>
              <w:snapToGrid w:val="0"/>
              <w:ind w:firstLine="504" w:firstLineChars="200"/>
              <w:jc w:val="both"/>
              <w:rPr>
                <w:rFonts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多源数据协同需求：需综合利用</w:t>
            </w:r>
            <w:r>
              <w:rPr>
                <w:rFonts w:ascii="仿宋_GB2312" w:hAnsi="仿宋_GB2312" w:eastAsia="仿宋_GB2312" w:cs="仿宋_GB2312"/>
                <w:bCs/>
                <w:color w:val="000000"/>
                <w:spacing w:val="6"/>
                <w:szCs w:val="28"/>
                <w:lang w:val="en-US"/>
              </w:rPr>
              <w:t>InSAR</w:t>
            </w:r>
            <w:r>
              <w:rPr>
                <w:rFonts w:hint="eastAsia" w:ascii="仿宋_GB2312" w:hAnsi="仿宋_GB2312" w:eastAsia="仿宋_GB2312" w:cs="仿宋_GB2312"/>
                <w:bCs/>
                <w:color w:val="000000"/>
                <w:spacing w:val="6"/>
                <w:szCs w:val="28"/>
                <w:lang w:val="en-US"/>
              </w:rPr>
              <w:t>（干涉合成孔径雷达）、光学遥感、激光雷达（</w:t>
            </w:r>
            <w:r>
              <w:rPr>
                <w:rFonts w:ascii="仿宋_GB2312" w:hAnsi="仿宋_GB2312" w:eastAsia="仿宋_GB2312" w:cs="仿宋_GB2312"/>
                <w:bCs/>
                <w:color w:val="000000"/>
                <w:spacing w:val="6"/>
                <w:szCs w:val="28"/>
                <w:lang w:val="en-US"/>
              </w:rPr>
              <w:t>LiDAR</w:t>
            </w:r>
            <w:r>
              <w:rPr>
                <w:rFonts w:hint="eastAsia" w:ascii="仿宋_GB2312" w:hAnsi="仿宋_GB2312" w:eastAsia="仿宋_GB2312" w:cs="仿宋_GB2312"/>
                <w:bCs/>
                <w:color w:val="000000"/>
                <w:spacing w:val="6"/>
                <w:szCs w:val="28"/>
                <w:lang w:val="en-US"/>
              </w:rPr>
              <w:t>）、高精度</w:t>
            </w:r>
            <w:r>
              <w:rPr>
                <w:rFonts w:ascii="仿宋_GB2312" w:hAnsi="仿宋_GB2312" w:eastAsia="仿宋_GB2312" w:cs="仿宋_GB2312"/>
                <w:bCs/>
                <w:color w:val="000000"/>
                <w:spacing w:val="6"/>
                <w:szCs w:val="28"/>
                <w:lang w:val="en-US"/>
              </w:rPr>
              <w:t>GNSS</w:t>
            </w:r>
            <w:r>
              <w:rPr>
                <w:rFonts w:hint="eastAsia" w:ascii="仿宋_GB2312" w:hAnsi="仿宋_GB2312" w:eastAsia="仿宋_GB2312" w:cs="仿宋_GB2312"/>
                <w:bCs/>
                <w:color w:val="000000"/>
                <w:spacing w:val="6"/>
                <w:szCs w:val="28"/>
                <w:lang w:val="en-US"/>
              </w:rPr>
              <w:t>、倾斜摄影、地基雷达、传感器网络（如裂缝计、位移计）等多源异构数据，解决数据融合与一致性难题。</w:t>
            </w:r>
          </w:p>
          <w:p w14:paraId="2E91CB6E">
            <w:pPr>
              <w:adjustRightInd w:val="0"/>
              <w:snapToGrid w:val="0"/>
              <w:ind w:firstLine="504" w:firstLineChars="200"/>
              <w:jc w:val="both"/>
              <w:rPr>
                <w:rFonts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实时智能预警需求：</w:t>
            </w:r>
            <w:r>
              <w:rPr>
                <w:rFonts w:ascii="仿宋_GB2312" w:hAnsi="仿宋_GB2312" w:eastAsia="仿宋_GB2312" w:cs="仿宋_GB2312"/>
                <w:bCs/>
                <w:color w:val="000000"/>
                <w:spacing w:val="6"/>
                <w:szCs w:val="28"/>
                <w:lang w:val="en-US"/>
              </w:rPr>
              <w:t xml:space="preserve"> </w:t>
            </w:r>
            <w:r>
              <w:rPr>
                <w:rFonts w:hint="eastAsia" w:ascii="仿宋_GB2312" w:hAnsi="仿宋_GB2312" w:eastAsia="仿宋_GB2312" w:cs="仿宋_GB2312"/>
                <w:bCs/>
                <w:color w:val="000000"/>
                <w:spacing w:val="6"/>
                <w:szCs w:val="28"/>
                <w:lang w:val="en-US"/>
              </w:rPr>
              <w:t>需建立高效的“数据采集</w:t>
            </w:r>
            <w:r>
              <w:rPr>
                <w:rFonts w:ascii="仿宋_GB2312" w:hAnsi="仿宋_GB2312" w:eastAsia="仿宋_GB2312" w:cs="仿宋_GB2312"/>
                <w:bCs/>
                <w:color w:val="000000"/>
                <w:spacing w:val="6"/>
                <w:szCs w:val="28"/>
                <w:lang w:val="en-US"/>
              </w:rPr>
              <w:t>-</w:t>
            </w:r>
            <w:r>
              <w:rPr>
                <w:rFonts w:hint="eastAsia" w:ascii="仿宋_GB2312" w:hAnsi="仿宋_GB2312" w:eastAsia="仿宋_GB2312" w:cs="仿宋_GB2312"/>
                <w:bCs/>
                <w:color w:val="000000"/>
                <w:spacing w:val="6"/>
                <w:szCs w:val="28"/>
                <w:lang w:val="en-US"/>
              </w:rPr>
              <w:t>传输</w:t>
            </w:r>
            <w:r>
              <w:rPr>
                <w:rFonts w:ascii="仿宋_GB2312" w:hAnsi="仿宋_GB2312" w:eastAsia="仿宋_GB2312" w:cs="仿宋_GB2312"/>
                <w:bCs/>
                <w:color w:val="000000"/>
                <w:spacing w:val="6"/>
                <w:szCs w:val="28"/>
                <w:lang w:val="en-US"/>
              </w:rPr>
              <w:t>-</w:t>
            </w:r>
            <w:r>
              <w:rPr>
                <w:rFonts w:hint="eastAsia" w:ascii="仿宋_GB2312" w:hAnsi="仿宋_GB2312" w:eastAsia="仿宋_GB2312" w:cs="仿宋_GB2312"/>
                <w:bCs/>
                <w:color w:val="000000"/>
                <w:spacing w:val="6"/>
                <w:szCs w:val="28"/>
                <w:lang w:val="en-US"/>
              </w:rPr>
              <w:t>处理</w:t>
            </w:r>
            <w:r>
              <w:rPr>
                <w:rFonts w:ascii="仿宋_GB2312" w:hAnsi="仿宋_GB2312" w:eastAsia="仿宋_GB2312" w:cs="仿宋_GB2312"/>
                <w:bCs/>
                <w:color w:val="000000"/>
                <w:spacing w:val="6"/>
                <w:szCs w:val="28"/>
                <w:lang w:val="en-US"/>
              </w:rPr>
              <w:t>-</w:t>
            </w:r>
            <w:r>
              <w:rPr>
                <w:rFonts w:hint="eastAsia" w:ascii="仿宋_GB2312" w:hAnsi="仿宋_GB2312" w:eastAsia="仿宋_GB2312" w:cs="仿宋_GB2312"/>
                <w:bCs/>
                <w:color w:val="000000"/>
                <w:spacing w:val="6"/>
                <w:szCs w:val="28"/>
                <w:lang w:val="en-US"/>
              </w:rPr>
              <w:t>分析</w:t>
            </w:r>
            <w:r>
              <w:rPr>
                <w:rFonts w:ascii="仿宋_GB2312" w:hAnsi="仿宋_GB2312" w:eastAsia="仿宋_GB2312" w:cs="仿宋_GB2312"/>
                <w:bCs/>
                <w:color w:val="000000"/>
                <w:spacing w:val="6"/>
                <w:szCs w:val="28"/>
                <w:lang w:val="en-US"/>
              </w:rPr>
              <w:t>-</w:t>
            </w:r>
            <w:r>
              <w:rPr>
                <w:rFonts w:hint="eastAsia" w:ascii="仿宋_GB2312" w:hAnsi="仿宋_GB2312" w:eastAsia="仿宋_GB2312" w:cs="仿宋_GB2312"/>
                <w:bCs/>
                <w:color w:val="000000"/>
                <w:spacing w:val="6"/>
                <w:szCs w:val="28"/>
                <w:lang w:val="en-US"/>
              </w:rPr>
              <w:t>预警”流水线，利用边缘计算、云计算和</w:t>
            </w:r>
            <w:r>
              <w:rPr>
                <w:rFonts w:ascii="仿宋_GB2312" w:hAnsi="仿宋_GB2312" w:eastAsia="仿宋_GB2312" w:cs="仿宋_GB2312"/>
                <w:bCs/>
                <w:color w:val="000000"/>
                <w:spacing w:val="6"/>
                <w:szCs w:val="28"/>
                <w:lang w:val="en-US"/>
              </w:rPr>
              <w:t>AI</w:t>
            </w:r>
            <w:r>
              <w:rPr>
                <w:rFonts w:hint="eastAsia" w:ascii="仿宋_GB2312" w:hAnsi="仿宋_GB2312" w:eastAsia="仿宋_GB2312" w:cs="仿宋_GB2312"/>
                <w:bCs/>
                <w:color w:val="000000"/>
                <w:spacing w:val="6"/>
                <w:szCs w:val="28"/>
                <w:lang w:val="en-US"/>
              </w:rPr>
              <w:t>算法（如深度学习变化检测、形变预测模型），实现近实时（关键区域小时级）的数据处理和风险预警。</w:t>
            </w:r>
          </w:p>
          <w:p w14:paraId="2A35FF86">
            <w:pPr>
              <w:adjustRightInd w:val="0"/>
              <w:snapToGrid w:val="0"/>
              <w:ind w:firstLine="504" w:firstLineChars="200"/>
              <w:jc w:val="both"/>
              <w:rPr>
                <w:rFonts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业务支撑与可视化需求：系统需面向自然资源监管、应急管理、交通运输、水利水电等不同行业用户，提供定制化数据分析模块和直观的二三维一体化可视化平台，支撑科学决策。</w:t>
            </w:r>
          </w:p>
          <w:p w14:paraId="749872DF">
            <w:pPr>
              <w:adjustRightInd w:val="0"/>
              <w:snapToGrid w:val="0"/>
              <w:ind w:firstLine="504" w:firstLineChars="200"/>
              <w:jc w:val="both"/>
              <w:rPr>
                <w:rFonts w:ascii="仿宋_GB2312" w:hAnsi="仿宋_GB2312" w:eastAsia="仿宋_GB2312" w:cs="仿宋_GB2312"/>
                <w:bCs/>
                <w:color w:val="000000"/>
                <w:spacing w:val="6"/>
                <w:szCs w:val="28"/>
                <w:lang w:val="en-US"/>
              </w:rPr>
            </w:pPr>
            <w:r>
              <w:rPr>
                <w:rFonts w:ascii="仿宋_GB2312" w:hAnsi="仿宋_GB2312" w:eastAsia="仿宋_GB2312" w:cs="仿宋_GB2312"/>
                <w:bCs/>
                <w:color w:val="000000"/>
                <w:spacing w:val="6"/>
                <w:szCs w:val="28"/>
                <w:lang w:val="en-US"/>
              </w:rPr>
              <w:t xml:space="preserve">3 </w:t>
            </w:r>
            <w:r>
              <w:rPr>
                <w:rFonts w:hint="eastAsia" w:ascii="仿宋_GB2312" w:hAnsi="仿宋_GB2312" w:eastAsia="仿宋_GB2312" w:cs="仿宋_GB2312"/>
                <w:bCs/>
                <w:color w:val="000000"/>
                <w:spacing w:val="6"/>
                <w:szCs w:val="28"/>
                <w:lang w:val="en-US"/>
              </w:rPr>
              <w:t>应用场景</w:t>
            </w:r>
          </w:p>
          <w:p w14:paraId="177BC1E3">
            <w:pPr>
              <w:adjustRightInd w:val="0"/>
              <w:snapToGrid w:val="0"/>
              <w:ind w:firstLine="504" w:firstLineChars="200"/>
              <w:jc w:val="both"/>
              <w:rPr>
                <w:rFonts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地质灾害防治：对滑坡、崩塌、泥石流隐患点进行早期识别、持续监测与临灾预警。</w:t>
            </w:r>
          </w:p>
          <w:p w14:paraId="01C9D219">
            <w:pPr>
              <w:adjustRightInd w:val="0"/>
              <w:snapToGrid w:val="0"/>
              <w:ind w:firstLine="504" w:firstLineChars="200"/>
              <w:jc w:val="both"/>
              <w:rPr>
                <w:rFonts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重大工程安全运维：监测水库大坝、高速铁路、跨海大桥、核电设施等周边地表稳定性。</w:t>
            </w:r>
          </w:p>
          <w:p w14:paraId="368DB823">
            <w:pPr>
              <w:adjustRightInd w:val="0"/>
              <w:snapToGrid w:val="0"/>
              <w:ind w:firstLine="504" w:firstLineChars="200"/>
              <w:jc w:val="both"/>
              <w:rPr>
                <w:rFonts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矿产资源开发监管：监测露天矿边坡稳定性、开采沉陷区范围与演变。</w:t>
            </w:r>
          </w:p>
          <w:p w14:paraId="75DDF340">
            <w:pPr>
              <w:adjustRightInd w:val="0"/>
              <w:snapToGrid w:val="0"/>
              <w:ind w:firstLine="504" w:firstLineChars="200"/>
              <w:jc w:val="both"/>
              <w:rPr>
                <w:rFonts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城市安全与国土空间规划：监测地面沉降、地裂缝，评估城市地下空间开发影响。</w:t>
            </w:r>
          </w:p>
          <w:p w14:paraId="4524DD15">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生态环境保护：监测海岸线变迁、冰川消融、水土流失等生态地貌过程。</w:t>
            </w:r>
          </w:p>
        </w:tc>
      </w:tr>
      <w:tr w14:paraId="739E55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9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99B0B10">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BD98120">
            <w:pPr>
              <w:adjustRightInd w:val="0"/>
              <w:snapToGrid w:val="0"/>
              <w:ind w:firstLine="504" w:firstLineChars="200"/>
              <w:rPr>
                <w:rFonts w:ascii="仿宋_GB2312" w:hAnsi="仿宋_GB2312" w:eastAsia="仿宋_GB2312" w:cs="仿宋_GB2312"/>
                <w:bCs/>
                <w:color w:val="000000"/>
                <w:spacing w:val="6"/>
                <w:szCs w:val="28"/>
              </w:rPr>
            </w:pPr>
            <w:r>
              <w:rPr>
                <w:rFonts w:ascii="仿宋_GB2312" w:hAnsi="仿宋_GB2312" w:eastAsia="仿宋_GB2312" w:cs="仿宋_GB2312"/>
                <w:bCs/>
                <w:color w:val="000000"/>
                <w:spacing w:val="6"/>
                <w:szCs w:val="28"/>
              </w:rPr>
              <w:t xml:space="preserve">1 </w:t>
            </w:r>
            <w:r>
              <w:rPr>
                <w:rFonts w:hint="eastAsia" w:ascii="仿宋_GB2312" w:hAnsi="仿宋_GB2312" w:eastAsia="仿宋_GB2312" w:cs="仿宋_GB2312"/>
                <w:bCs/>
                <w:color w:val="000000"/>
                <w:spacing w:val="6"/>
                <w:szCs w:val="28"/>
              </w:rPr>
              <w:t>方案内容要求</w:t>
            </w:r>
          </w:p>
          <w:p w14:paraId="223B8D1B">
            <w:pPr>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参赛方案需提交一套完整的</w:t>
            </w:r>
            <w:r>
              <w:rPr>
                <w:rFonts w:ascii="仿宋_GB2312" w:hAnsi="仿宋_GB2312" w:eastAsia="仿宋_GB2312" w:cs="仿宋_GB2312"/>
                <w:bCs/>
                <w:color w:val="000000"/>
                <w:spacing w:val="6"/>
                <w:szCs w:val="28"/>
              </w:rPr>
              <w:t xml:space="preserve"> </w:t>
            </w:r>
            <w:r>
              <w:rPr>
                <w:rFonts w:hint="eastAsia" w:ascii="仿宋_GB2312" w:hAnsi="仿宋_GB2312" w:eastAsia="仿宋_GB2312" w:cs="仿宋_GB2312"/>
                <w:bCs/>
                <w:color w:val="000000"/>
                <w:spacing w:val="6"/>
                <w:szCs w:val="28"/>
              </w:rPr>
              <w:t>《多尺度地貌监测系统设计方案》</w:t>
            </w:r>
            <w:r>
              <w:rPr>
                <w:rFonts w:ascii="仿宋_GB2312" w:hAnsi="仿宋_GB2312" w:eastAsia="仿宋_GB2312" w:cs="仿宋_GB2312"/>
                <w:bCs/>
                <w:color w:val="000000"/>
                <w:spacing w:val="6"/>
                <w:szCs w:val="28"/>
              </w:rPr>
              <w:t xml:space="preserve"> </w:t>
            </w:r>
            <w:r>
              <w:rPr>
                <w:rFonts w:hint="eastAsia" w:ascii="仿宋_GB2312" w:hAnsi="仿宋_GB2312" w:eastAsia="仿宋_GB2312" w:cs="仿宋_GB2312"/>
                <w:bCs/>
                <w:color w:val="000000"/>
                <w:spacing w:val="6"/>
                <w:szCs w:val="28"/>
              </w:rPr>
              <w:t>，至少应包括：</w:t>
            </w:r>
          </w:p>
          <w:p w14:paraId="61A10E89">
            <w:pPr>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总体架构设计：</w:t>
            </w:r>
            <w:r>
              <w:rPr>
                <w:rFonts w:ascii="仿宋_GB2312" w:hAnsi="仿宋_GB2312" w:eastAsia="仿宋_GB2312" w:cs="仿宋_GB2312"/>
                <w:bCs/>
                <w:color w:val="000000"/>
                <w:spacing w:val="6"/>
                <w:szCs w:val="28"/>
              </w:rPr>
              <w:t xml:space="preserve"> </w:t>
            </w:r>
            <w:r>
              <w:rPr>
                <w:rFonts w:hint="eastAsia" w:ascii="仿宋_GB2312" w:hAnsi="仿宋_GB2312" w:eastAsia="仿宋_GB2312" w:cs="仿宋_GB2312"/>
                <w:bCs/>
                <w:color w:val="000000"/>
                <w:spacing w:val="6"/>
                <w:szCs w:val="28"/>
              </w:rPr>
              <w:t>阐述系统的设计理念、逻辑架构（感知层、传输层、数据层、平台层、应用层）、技术路线与创新点。</w:t>
            </w:r>
          </w:p>
          <w:p w14:paraId="7AB793C7">
            <w:pPr>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多尺度监测网络详细设计：</w:t>
            </w:r>
          </w:p>
          <w:p w14:paraId="6FAD3CB7">
            <w:pPr>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天基监测子系统：卫星数据源选择、重访周期、处理流程设计。</w:t>
            </w:r>
          </w:p>
          <w:p w14:paraId="63FF2965">
            <w:pPr>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空基监测子系统：无人机平台选型、任务规划、传感器配置（如多光谱、</w:t>
            </w:r>
            <w:r>
              <w:rPr>
                <w:rFonts w:ascii="仿宋_GB2312" w:hAnsi="仿宋_GB2312" w:eastAsia="仿宋_GB2312" w:cs="仿宋_GB2312"/>
                <w:bCs/>
                <w:color w:val="000000"/>
                <w:spacing w:val="6"/>
                <w:szCs w:val="28"/>
              </w:rPr>
              <w:t>LiDAR</w:t>
            </w:r>
            <w:r>
              <w:rPr>
                <w:rFonts w:hint="eastAsia" w:ascii="仿宋_GB2312" w:hAnsi="仿宋_GB2312" w:eastAsia="仿宋_GB2312" w:cs="仿宋_GB2312"/>
                <w:bCs/>
                <w:color w:val="000000"/>
                <w:spacing w:val="6"/>
                <w:szCs w:val="28"/>
              </w:rPr>
              <w:t>）、数据处理流程。</w:t>
            </w:r>
          </w:p>
          <w:p w14:paraId="4EE3FDB4">
            <w:pPr>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地基监测子系统：传感器类型选型与布设策略、物联网组网方案、边缘计算节点设计。</w:t>
            </w:r>
          </w:p>
          <w:p w14:paraId="1B88BF74">
            <w:pPr>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核心算法与模型设计：重点说明多源时空数据融合方法、地表形变信息提取算法（如时序</w:t>
            </w:r>
            <w:r>
              <w:rPr>
                <w:rFonts w:ascii="仿宋_GB2312" w:hAnsi="仿宋_GB2312" w:eastAsia="仿宋_GB2312" w:cs="仿宋_GB2312"/>
                <w:bCs/>
                <w:color w:val="000000"/>
                <w:spacing w:val="6"/>
                <w:szCs w:val="28"/>
              </w:rPr>
              <w:t>InSAR</w:t>
            </w:r>
            <w:r>
              <w:rPr>
                <w:rFonts w:hint="eastAsia" w:ascii="仿宋_GB2312" w:hAnsi="仿宋_GB2312" w:eastAsia="仿宋_GB2312" w:cs="仿宋_GB2312"/>
                <w:bCs/>
                <w:color w:val="000000"/>
                <w:spacing w:val="6"/>
                <w:szCs w:val="28"/>
              </w:rPr>
              <w:t>、点云对比）、地貌变化</w:t>
            </w:r>
            <w:r>
              <w:rPr>
                <w:rFonts w:ascii="仿宋_GB2312" w:hAnsi="仿宋_GB2312" w:eastAsia="仿宋_GB2312" w:cs="仿宋_GB2312"/>
                <w:bCs/>
                <w:color w:val="000000"/>
                <w:spacing w:val="6"/>
                <w:szCs w:val="28"/>
              </w:rPr>
              <w:t>AI</w:t>
            </w:r>
            <w:r>
              <w:rPr>
                <w:rFonts w:hint="eastAsia" w:ascii="仿宋_GB2312" w:hAnsi="仿宋_GB2312" w:eastAsia="仿宋_GB2312" w:cs="仿宋_GB2312"/>
                <w:bCs/>
                <w:color w:val="000000"/>
                <w:spacing w:val="6"/>
                <w:szCs w:val="28"/>
              </w:rPr>
              <w:t>识别模型、风险评估与预测模型等至少两项关键算法</w:t>
            </w:r>
            <w:r>
              <w:rPr>
                <w:rFonts w:ascii="仿宋_GB2312" w:hAnsi="仿宋_GB2312" w:eastAsia="仿宋_GB2312" w:cs="仿宋_GB2312"/>
                <w:bCs/>
                <w:color w:val="000000"/>
                <w:spacing w:val="6"/>
                <w:szCs w:val="28"/>
              </w:rPr>
              <w:t>/</w:t>
            </w:r>
            <w:r>
              <w:rPr>
                <w:rFonts w:hint="eastAsia" w:ascii="仿宋_GB2312" w:hAnsi="仿宋_GB2312" w:eastAsia="仿宋_GB2312" w:cs="仿宋_GB2312"/>
                <w:bCs/>
                <w:color w:val="000000"/>
                <w:spacing w:val="6"/>
                <w:szCs w:val="28"/>
              </w:rPr>
              <w:t>模型的原理与实现路径。</w:t>
            </w:r>
          </w:p>
          <w:p w14:paraId="68258F8B">
            <w:pPr>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系统平台与功能设计：描述软件平台的功能模块（如数据管理、智能解译、分析模拟、预警发布、三维展示）、用户界面构想及与其他系统的集成接口。</w:t>
            </w:r>
          </w:p>
          <w:p w14:paraId="0400AF80">
            <w:pPr>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原型系统演示验证方案：提出一个针对特定应用场景（如某滑坡隐患点）的原型系统搭建与验证方案，包括模拟或真实数据测试计划、预期性能指标（如监测精度、预警时效性）。</w:t>
            </w:r>
          </w:p>
          <w:p w14:paraId="29597979">
            <w:pPr>
              <w:adjustRightInd w:val="0"/>
              <w:snapToGrid w:val="0"/>
              <w:ind w:firstLine="504" w:firstLineChars="200"/>
              <w:rPr>
                <w:rFonts w:ascii="仿宋_GB2312" w:hAnsi="仿宋_GB2312" w:eastAsia="仿宋_GB2312" w:cs="仿宋_GB2312"/>
                <w:bCs/>
                <w:color w:val="000000"/>
                <w:spacing w:val="6"/>
                <w:szCs w:val="28"/>
              </w:rPr>
            </w:pPr>
            <w:r>
              <w:rPr>
                <w:rFonts w:ascii="仿宋_GB2312" w:hAnsi="仿宋_GB2312" w:eastAsia="仿宋_GB2312" w:cs="仿宋_GB2312"/>
                <w:bCs/>
                <w:color w:val="000000"/>
                <w:spacing w:val="6"/>
                <w:szCs w:val="28"/>
              </w:rPr>
              <w:t xml:space="preserve">2 </w:t>
            </w:r>
            <w:r>
              <w:rPr>
                <w:rFonts w:hint="eastAsia" w:ascii="仿宋_GB2312" w:hAnsi="仿宋_GB2312" w:eastAsia="仿宋_GB2312" w:cs="仿宋_GB2312"/>
                <w:bCs/>
                <w:color w:val="000000"/>
                <w:spacing w:val="6"/>
                <w:szCs w:val="28"/>
              </w:rPr>
              <w:t>作品提交形式</w:t>
            </w:r>
          </w:p>
          <w:p w14:paraId="6895E4BB">
            <w:pPr>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主文档：完整的系统设计方案报告（</w:t>
            </w:r>
            <w:r>
              <w:rPr>
                <w:rFonts w:ascii="仿宋_GB2312" w:hAnsi="仿宋_GB2312" w:eastAsia="仿宋_GB2312" w:cs="仿宋_GB2312"/>
                <w:bCs/>
                <w:color w:val="000000"/>
                <w:spacing w:val="6"/>
                <w:szCs w:val="28"/>
              </w:rPr>
              <w:t>PDF</w:t>
            </w:r>
            <w:r>
              <w:rPr>
                <w:rFonts w:hint="eastAsia" w:ascii="仿宋_GB2312" w:hAnsi="仿宋_GB2312" w:eastAsia="仿宋_GB2312" w:cs="仿宋_GB2312"/>
                <w:bCs/>
                <w:color w:val="000000"/>
                <w:spacing w:val="6"/>
                <w:szCs w:val="28"/>
              </w:rPr>
              <w:t>格式，字数不限，建议</w:t>
            </w:r>
            <w:r>
              <w:rPr>
                <w:rFonts w:ascii="仿宋_GB2312" w:hAnsi="仿宋_GB2312" w:eastAsia="仿宋_GB2312" w:cs="仿宋_GB2312"/>
                <w:bCs/>
                <w:color w:val="000000"/>
                <w:spacing w:val="6"/>
                <w:szCs w:val="28"/>
              </w:rPr>
              <w:t>50-100</w:t>
            </w:r>
            <w:r>
              <w:rPr>
                <w:rFonts w:hint="eastAsia" w:ascii="仿宋_GB2312" w:hAnsi="仿宋_GB2312" w:eastAsia="仿宋_GB2312" w:cs="仿宋_GB2312"/>
                <w:bCs/>
                <w:color w:val="000000"/>
                <w:spacing w:val="6"/>
                <w:szCs w:val="28"/>
              </w:rPr>
              <w:t>页，图文并茂）。</w:t>
            </w:r>
          </w:p>
          <w:p w14:paraId="5974C89A">
            <w:pPr>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辅助材料：</w:t>
            </w:r>
          </w:p>
          <w:p w14:paraId="7040A0A5">
            <w:pPr>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系统架构及关键流程的高清示意图、原理图。</w:t>
            </w:r>
          </w:p>
          <w:p w14:paraId="7A5FDEF0">
            <w:pPr>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核心算法</w:t>
            </w:r>
            <w:r>
              <w:rPr>
                <w:rFonts w:ascii="仿宋_GB2312" w:hAnsi="仿宋_GB2312" w:eastAsia="仿宋_GB2312" w:cs="仿宋_GB2312"/>
                <w:bCs/>
                <w:color w:val="000000"/>
                <w:spacing w:val="6"/>
                <w:szCs w:val="28"/>
              </w:rPr>
              <w:t>/</w:t>
            </w:r>
            <w:r>
              <w:rPr>
                <w:rFonts w:hint="eastAsia" w:ascii="仿宋_GB2312" w:hAnsi="仿宋_GB2312" w:eastAsia="仿宋_GB2312" w:cs="仿宋_GB2312"/>
                <w:bCs/>
                <w:color w:val="000000"/>
                <w:spacing w:val="6"/>
                <w:szCs w:val="28"/>
              </w:rPr>
              <w:t>模型的伪代码或简要代码示例（可选，可附</w:t>
            </w:r>
            <w:r>
              <w:rPr>
                <w:rFonts w:ascii="仿宋_GB2312" w:hAnsi="仿宋_GB2312" w:eastAsia="仿宋_GB2312" w:cs="仿宋_GB2312"/>
                <w:bCs/>
                <w:color w:val="000000"/>
                <w:spacing w:val="6"/>
                <w:szCs w:val="28"/>
              </w:rPr>
              <w:t>GitHub</w:t>
            </w:r>
            <w:r>
              <w:rPr>
                <w:rFonts w:hint="eastAsia" w:ascii="仿宋_GB2312" w:hAnsi="仿宋_GB2312" w:eastAsia="仿宋_GB2312" w:cs="仿宋_GB2312"/>
                <w:bCs/>
                <w:color w:val="000000"/>
                <w:spacing w:val="6"/>
                <w:szCs w:val="28"/>
              </w:rPr>
              <w:t>链接）。</w:t>
            </w:r>
          </w:p>
          <w:p w14:paraId="4AF886E9">
            <w:pPr>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演示视频（可选但鼓励）：时长不超过</w:t>
            </w:r>
            <w:r>
              <w:rPr>
                <w:rFonts w:ascii="仿宋_GB2312" w:hAnsi="仿宋_GB2312" w:eastAsia="仿宋_GB2312" w:cs="仿宋_GB2312"/>
                <w:bCs/>
                <w:color w:val="000000"/>
                <w:spacing w:val="6"/>
                <w:szCs w:val="28"/>
              </w:rPr>
              <w:t>10</w:t>
            </w:r>
            <w:r>
              <w:rPr>
                <w:rFonts w:hint="eastAsia" w:ascii="仿宋_GB2312" w:hAnsi="仿宋_GB2312" w:eastAsia="仿宋_GB2312" w:cs="仿宋_GB2312"/>
                <w:bCs/>
                <w:color w:val="000000"/>
                <w:spacing w:val="6"/>
                <w:szCs w:val="28"/>
              </w:rPr>
              <w:t>分钟，展示方案核心思想、原型系统</w:t>
            </w:r>
            <w:r>
              <w:rPr>
                <w:rFonts w:ascii="仿宋_GB2312" w:hAnsi="仿宋_GB2312" w:eastAsia="仿宋_GB2312" w:cs="仿宋_GB2312"/>
                <w:bCs/>
                <w:color w:val="000000"/>
                <w:spacing w:val="6"/>
                <w:szCs w:val="28"/>
              </w:rPr>
              <w:t>UI/UX</w:t>
            </w:r>
            <w:r>
              <w:rPr>
                <w:rFonts w:hint="eastAsia" w:ascii="仿宋_GB2312" w:hAnsi="仿宋_GB2312" w:eastAsia="仿宋_GB2312" w:cs="仿宋_GB2312"/>
                <w:bCs/>
                <w:color w:val="000000"/>
                <w:spacing w:val="6"/>
                <w:szCs w:val="28"/>
              </w:rPr>
              <w:t>模拟或算法模拟演示。</w:t>
            </w:r>
          </w:p>
          <w:p w14:paraId="3B5C7DE0">
            <w:pPr>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提交方式：通过大赛指定平台上传电子版文件。</w:t>
            </w:r>
          </w:p>
          <w:p w14:paraId="6655BD0F">
            <w:pPr>
              <w:adjustRightInd w:val="0"/>
              <w:snapToGrid w:val="0"/>
              <w:ind w:firstLine="504" w:firstLineChars="200"/>
              <w:rPr>
                <w:rFonts w:ascii="仿宋_GB2312" w:hAnsi="仿宋_GB2312" w:eastAsia="仿宋_GB2312" w:cs="仿宋_GB2312"/>
                <w:bCs/>
                <w:color w:val="000000"/>
                <w:spacing w:val="6"/>
                <w:szCs w:val="28"/>
              </w:rPr>
            </w:pPr>
            <w:r>
              <w:rPr>
                <w:rFonts w:ascii="仿宋_GB2312" w:hAnsi="仿宋_GB2312" w:eastAsia="仿宋_GB2312" w:cs="仿宋_GB2312"/>
                <w:bCs/>
                <w:color w:val="000000"/>
                <w:spacing w:val="6"/>
                <w:szCs w:val="28"/>
              </w:rPr>
              <w:t xml:space="preserve">3 </w:t>
            </w:r>
            <w:r>
              <w:rPr>
                <w:rFonts w:hint="eastAsia" w:ascii="仿宋_GB2312" w:hAnsi="仿宋_GB2312" w:eastAsia="仿宋_GB2312" w:cs="仿宋_GB2312"/>
                <w:bCs/>
                <w:color w:val="000000"/>
                <w:spacing w:val="6"/>
                <w:szCs w:val="28"/>
              </w:rPr>
              <w:t>时间要求</w:t>
            </w:r>
          </w:p>
          <w:p w14:paraId="0242DB9E">
            <w:pPr>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作品提交截止日期以组委会通知为准。</w:t>
            </w:r>
          </w:p>
          <w:p w14:paraId="713E070C">
            <w:pPr>
              <w:adjustRightInd w:val="0"/>
              <w:snapToGrid w:val="0"/>
              <w:ind w:firstLine="504" w:firstLineChars="200"/>
              <w:rPr>
                <w:rFonts w:hint="eastAsia" w:ascii="仿宋_GB2312" w:hAnsi="仿宋_GB2312" w:eastAsia="仿宋_GB2312" w:cs="仿宋_GB2312"/>
                <w:color w:val="000000"/>
              </w:rPr>
            </w:pPr>
            <w:r>
              <w:rPr>
                <w:rFonts w:hint="eastAsia" w:ascii="仿宋_GB2312" w:hAnsi="仿宋_GB2312" w:eastAsia="仿宋_GB2312" w:cs="仿宋_GB2312"/>
                <w:bCs/>
                <w:color w:val="000000"/>
                <w:spacing w:val="6"/>
                <w:szCs w:val="28"/>
              </w:rPr>
              <w:t>逾期提交的作品将不予受理。</w:t>
            </w:r>
          </w:p>
        </w:tc>
      </w:tr>
      <w:tr w14:paraId="2B8A01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05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E84F86">
            <w:pPr>
              <w:overflowPunct w:val="0"/>
              <w:adjustRightInd w:val="0"/>
              <w:snapToGrid w:val="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作品评审</w:t>
            </w:r>
          </w:p>
          <w:p w14:paraId="336277ED">
            <w:pPr>
              <w:overflowPunct w:val="0"/>
              <w:adjustRightInd w:val="0"/>
              <w:snapToGrid w:val="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tbl>
            <w:tblPr>
              <w:tblStyle w:val="11"/>
              <w:tblW w:w="5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
            <w:tblGrid>
              <w:gridCol w:w="1353"/>
              <w:gridCol w:w="1052"/>
              <w:gridCol w:w="3402"/>
            </w:tblGrid>
            <w:tr w14:paraId="5FA7F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blHeader/>
                <w:jc w:val="center"/>
              </w:trPr>
              <w:tc>
                <w:tcPr>
                  <w:tcW w:w="1353" w:type="dxa"/>
                  <w:shd w:val="clear" w:color="auto" w:fill="FFFFFF"/>
                  <w:tcMar>
                    <w:top w:w="150" w:type="dxa"/>
                    <w:left w:w="0" w:type="dxa"/>
                    <w:bottom w:w="150" w:type="dxa"/>
                    <w:right w:w="240" w:type="dxa"/>
                  </w:tcMar>
                  <w:vAlign w:val="center"/>
                </w:tcPr>
                <w:p w14:paraId="1398F429">
                  <w:pPr>
                    <w:widowControl w:val="0"/>
                    <w:spacing w:after="160" w:line="278" w:lineRule="auto"/>
                    <w:rPr>
                      <w:rFonts w:ascii="仿宋" w:hAnsi="仿宋" w:eastAsia="仿宋"/>
                      <w:lang w:val="en-US"/>
                    </w:rPr>
                  </w:pPr>
                  <w:r>
                    <w:rPr>
                      <w:rFonts w:ascii="仿宋" w:hAnsi="仿宋" w:eastAsia="仿宋"/>
                      <w:b/>
                      <w:bCs/>
                      <w:lang w:val="en-US"/>
                    </w:rPr>
                    <w:t>评审维度</w:t>
                  </w:r>
                </w:p>
              </w:tc>
              <w:tc>
                <w:tcPr>
                  <w:tcW w:w="1052" w:type="dxa"/>
                  <w:shd w:val="clear" w:color="auto" w:fill="FFFFFF"/>
                  <w:tcMar>
                    <w:top w:w="150" w:type="dxa"/>
                    <w:left w:w="240" w:type="dxa"/>
                    <w:bottom w:w="150" w:type="dxa"/>
                    <w:right w:w="240" w:type="dxa"/>
                  </w:tcMar>
                  <w:vAlign w:val="center"/>
                </w:tcPr>
                <w:p w14:paraId="6DDB75C6">
                  <w:pPr>
                    <w:widowControl w:val="0"/>
                    <w:spacing w:after="160" w:line="278" w:lineRule="auto"/>
                    <w:rPr>
                      <w:rFonts w:ascii="仿宋" w:hAnsi="仿宋" w:eastAsia="仿宋"/>
                      <w:lang w:val="en-US"/>
                    </w:rPr>
                  </w:pPr>
                  <w:r>
                    <w:rPr>
                      <w:rFonts w:ascii="仿宋" w:hAnsi="仿宋" w:eastAsia="仿宋"/>
                      <w:b/>
                      <w:bCs/>
                      <w:lang w:val="en-US"/>
                    </w:rPr>
                    <w:t>权重</w:t>
                  </w:r>
                </w:p>
              </w:tc>
              <w:tc>
                <w:tcPr>
                  <w:tcW w:w="3402" w:type="dxa"/>
                  <w:shd w:val="clear" w:color="auto" w:fill="FFFFFF"/>
                  <w:tcMar>
                    <w:top w:w="150" w:type="dxa"/>
                    <w:left w:w="240" w:type="dxa"/>
                    <w:bottom w:w="150" w:type="dxa"/>
                    <w:right w:w="240" w:type="dxa"/>
                  </w:tcMar>
                  <w:vAlign w:val="center"/>
                </w:tcPr>
                <w:p w14:paraId="17422591">
                  <w:pPr>
                    <w:widowControl w:val="0"/>
                    <w:spacing w:after="160" w:line="278" w:lineRule="auto"/>
                    <w:rPr>
                      <w:rFonts w:ascii="仿宋" w:hAnsi="仿宋" w:eastAsia="仿宋"/>
                      <w:lang w:val="en-US"/>
                    </w:rPr>
                  </w:pPr>
                  <w:r>
                    <w:rPr>
                      <w:rFonts w:ascii="仿宋" w:hAnsi="仿宋" w:eastAsia="仿宋"/>
                      <w:b/>
                      <w:bCs/>
                      <w:lang w:val="en-US"/>
                    </w:rPr>
                    <w:t>具体评价要点</w:t>
                  </w:r>
                </w:p>
              </w:tc>
            </w:tr>
            <w:tr w14:paraId="4AC9F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1353" w:type="dxa"/>
                  <w:shd w:val="clear" w:color="auto" w:fill="FFFFFF"/>
                  <w:tcMar>
                    <w:top w:w="150" w:type="dxa"/>
                    <w:left w:w="0" w:type="dxa"/>
                    <w:bottom w:w="150" w:type="dxa"/>
                    <w:right w:w="240" w:type="dxa"/>
                  </w:tcMar>
                  <w:vAlign w:val="center"/>
                </w:tcPr>
                <w:p w14:paraId="48B80F5A">
                  <w:pPr>
                    <w:widowControl w:val="0"/>
                    <w:spacing w:after="160" w:line="278" w:lineRule="auto"/>
                    <w:rPr>
                      <w:rFonts w:ascii="仿宋" w:hAnsi="仿宋" w:eastAsia="仿宋"/>
                      <w:lang w:val="en-US"/>
                    </w:rPr>
                  </w:pPr>
                  <w:r>
                    <w:rPr>
                      <w:rFonts w:ascii="仿宋" w:hAnsi="仿宋" w:eastAsia="仿宋"/>
                      <w:b/>
                      <w:bCs/>
                      <w:lang w:val="en-US"/>
                    </w:rPr>
                    <w:t>创新性与先进性</w:t>
                  </w:r>
                </w:p>
              </w:tc>
              <w:tc>
                <w:tcPr>
                  <w:tcW w:w="1052" w:type="dxa"/>
                  <w:shd w:val="clear" w:color="auto" w:fill="FFFFFF"/>
                  <w:tcMar>
                    <w:top w:w="150" w:type="dxa"/>
                    <w:left w:w="240" w:type="dxa"/>
                    <w:bottom w:w="150" w:type="dxa"/>
                    <w:right w:w="240" w:type="dxa"/>
                  </w:tcMar>
                  <w:vAlign w:val="center"/>
                </w:tcPr>
                <w:p w14:paraId="5831DC91">
                  <w:pPr>
                    <w:widowControl w:val="0"/>
                    <w:spacing w:after="160" w:line="278" w:lineRule="auto"/>
                    <w:rPr>
                      <w:rFonts w:ascii="仿宋" w:hAnsi="仿宋" w:eastAsia="仿宋"/>
                      <w:lang w:val="en-US"/>
                    </w:rPr>
                  </w:pPr>
                  <w:r>
                    <w:rPr>
                      <w:rFonts w:ascii="仿宋" w:hAnsi="仿宋" w:eastAsia="仿宋"/>
                      <w:lang w:val="en-US"/>
                    </w:rPr>
                    <w:t>25%</w:t>
                  </w:r>
                </w:p>
              </w:tc>
              <w:tc>
                <w:tcPr>
                  <w:tcW w:w="3402" w:type="dxa"/>
                  <w:shd w:val="clear" w:color="auto" w:fill="FFFFFF"/>
                  <w:tcMar>
                    <w:top w:w="150" w:type="dxa"/>
                    <w:left w:w="240" w:type="dxa"/>
                    <w:bottom w:w="150" w:type="dxa"/>
                    <w:right w:w="0" w:type="dxa"/>
                  </w:tcMar>
                  <w:vAlign w:val="center"/>
                </w:tcPr>
                <w:p w14:paraId="0BE77D99">
                  <w:pPr>
                    <w:widowControl w:val="0"/>
                    <w:spacing w:after="160" w:line="278" w:lineRule="auto"/>
                    <w:rPr>
                      <w:rFonts w:ascii="仿宋" w:hAnsi="仿宋" w:eastAsia="仿宋"/>
                      <w:lang w:val="en-US"/>
                    </w:rPr>
                  </w:pPr>
                  <w:r>
                    <w:rPr>
                      <w:rFonts w:ascii="仿宋" w:hAnsi="仿宋" w:eastAsia="仿宋"/>
                      <w:lang w:val="en-US"/>
                    </w:rPr>
                    <w:t>设计理念、技术路线的创新程度；是否采用前沿技术解决行业痛点；方案的技术领先性。</w:t>
                  </w:r>
                </w:p>
              </w:tc>
            </w:tr>
            <w:tr w14:paraId="3B32A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1353" w:type="dxa"/>
                  <w:shd w:val="clear" w:color="auto" w:fill="FFFFFF"/>
                  <w:tcMar>
                    <w:top w:w="150" w:type="dxa"/>
                    <w:left w:w="0" w:type="dxa"/>
                    <w:bottom w:w="150" w:type="dxa"/>
                    <w:right w:w="240" w:type="dxa"/>
                  </w:tcMar>
                  <w:vAlign w:val="center"/>
                </w:tcPr>
                <w:p w14:paraId="423BC6C7">
                  <w:pPr>
                    <w:widowControl w:val="0"/>
                    <w:spacing w:after="160" w:line="278" w:lineRule="auto"/>
                    <w:rPr>
                      <w:rFonts w:ascii="仿宋" w:hAnsi="仿宋" w:eastAsia="仿宋"/>
                      <w:lang w:val="en-US"/>
                    </w:rPr>
                  </w:pPr>
                  <w:r>
                    <w:rPr>
                      <w:rFonts w:ascii="仿宋" w:hAnsi="仿宋" w:eastAsia="仿宋"/>
                      <w:b/>
                      <w:bCs/>
                      <w:lang w:val="en-US"/>
                    </w:rPr>
                    <w:t>系统性与完整性</w:t>
                  </w:r>
                </w:p>
              </w:tc>
              <w:tc>
                <w:tcPr>
                  <w:tcW w:w="1052" w:type="dxa"/>
                  <w:shd w:val="clear" w:color="auto" w:fill="FFFFFF"/>
                  <w:tcMar>
                    <w:top w:w="150" w:type="dxa"/>
                    <w:left w:w="240" w:type="dxa"/>
                    <w:bottom w:w="150" w:type="dxa"/>
                    <w:right w:w="240" w:type="dxa"/>
                  </w:tcMar>
                  <w:vAlign w:val="center"/>
                </w:tcPr>
                <w:p w14:paraId="0A45A646">
                  <w:pPr>
                    <w:widowControl w:val="0"/>
                    <w:spacing w:after="160" w:line="278" w:lineRule="auto"/>
                    <w:rPr>
                      <w:rFonts w:ascii="仿宋" w:hAnsi="仿宋" w:eastAsia="仿宋"/>
                      <w:lang w:val="en-US"/>
                    </w:rPr>
                  </w:pPr>
                  <w:r>
                    <w:rPr>
                      <w:rFonts w:ascii="仿宋" w:hAnsi="仿宋" w:eastAsia="仿宋"/>
                      <w:lang w:val="en-US"/>
                    </w:rPr>
                    <w:t>25%</w:t>
                  </w:r>
                </w:p>
              </w:tc>
              <w:tc>
                <w:tcPr>
                  <w:tcW w:w="3402" w:type="dxa"/>
                  <w:shd w:val="clear" w:color="auto" w:fill="FFFFFF"/>
                  <w:tcMar>
                    <w:top w:w="150" w:type="dxa"/>
                    <w:left w:w="240" w:type="dxa"/>
                    <w:bottom w:w="150" w:type="dxa"/>
                    <w:right w:w="0" w:type="dxa"/>
                  </w:tcMar>
                  <w:vAlign w:val="center"/>
                </w:tcPr>
                <w:p w14:paraId="2D088713">
                  <w:pPr>
                    <w:widowControl w:val="0"/>
                    <w:spacing w:after="160" w:line="278" w:lineRule="auto"/>
                    <w:rPr>
                      <w:rFonts w:ascii="仿宋" w:hAnsi="仿宋" w:eastAsia="仿宋"/>
                      <w:lang w:val="en-US"/>
                    </w:rPr>
                  </w:pPr>
                  <w:r>
                    <w:rPr>
                      <w:rFonts w:ascii="仿宋" w:hAnsi="仿宋" w:eastAsia="仿宋"/>
                      <w:lang w:val="en-US"/>
                    </w:rPr>
                    <w:t>总体架构是否清晰、合理、层次分明；多尺度、多源数据融合方案是否系统、可行；方案是否覆盖从数据采集到应用服务的完整链条。</w:t>
                  </w:r>
                </w:p>
              </w:tc>
            </w:tr>
            <w:tr w14:paraId="48A64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353" w:type="dxa"/>
                  <w:shd w:val="clear" w:color="auto" w:fill="FFFFFF"/>
                  <w:tcMar>
                    <w:top w:w="150" w:type="dxa"/>
                    <w:left w:w="0" w:type="dxa"/>
                    <w:bottom w:w="150" w:type="dxa"/>
                    <w:right w:w="240" w:type="dxa"/>
                  </w:tcMar>
                  <w:vAlign w:val="center"/>
                </w:tcPr>
                <w:p w14:paraId="22448F1D">
                  <w:pPr>
                    <w:widowControl w:val="0"/>
                    <w:spacing w:after="160" w:line="278" w:lineRule="auto"/>
                    <w:rPr>
                      <w:rFonts w:ascii="仿宋" w:hAnsi="仿宋" w:eastAsia="仿宋"/>
                      <w:lang w:val="en-US"/>
                    </w:rPr>
                  </w:pPr>
                  <w:r>
                    <w:rPr>
                      <w:rFonts w:ascii="仿宋" w:hAnsi="仿宋" w:eastAsia="仿宋"/>
                      <w:b/>
                      <w:bCs/>
                      <w:lang w:val="en-US"/>
                    </w:rPr>
                    <w:t>技术可行性与成熟度</w:t>
                  </w:r>
                </w:p>
              </w:tc>
              <w:tc>
                <w:tcPr>
                  <w:tcW w:w="1052" w:type="dxa"/>
                  <w:shd w:val="clear" w:color="auto" w:fill="FFFFFF"/>
                  <w:tcMar>
                    <w:top w:w="150" w:type="dxa"/>
                    <w:left w:w="240" w:type="dxa"/>
                    <w:bottom w:w="150" w:type="dxa"/>
                    <w:right w:w="240" w:type="dxa"/>
                  </w:tcMar>
                  <w:vAlign w:val="center"/>
                </w:tcPr>
                <w:p w14:paraId="3B331C3C">
                  <w:pPr>
                    <w:widowControl w:val="0"/>
                    <w:spacing w:after="160" w:line="278" w:lineRule="auto"/>
                    <w:rPr>
                      <w:rFonts w:ascii="仿宋" w:hAnsi="仿宋" w:eastAsia="仿宋"/>
                      <w:lang w:val="en-US"/>
                    </w:rPr>
                  </w:pPr>
                  <w:r>
                    <w:rPr>
                      <w:rFonts w:ascii="仿宋" w:hAnsi="仿宋" w:eastAsia="仿宋"/>
                      <w:lang w:val="en-US"/>
                    </w:rPr>
                    <w:t>20%</w:t>
                  </w:r>
                </w:p>
              </w:tc>
              <w:tc>
                <w:tcPr>
                  <w:tcW w:w="3402" w:type="dxa"/>
                  <w:shd w:val="clear" w:color="auto" w:fill="FFFFFF"/>
                  <w:tcMar>
                    <w:top w:w="150" w:type="dxa"/>
                    <w:left w:w="240" w:type="dxa"/>
                    <w:bottom w:w="150" w:type="dxa"/>
                    <w:right w:w="0" w:type="dxa"/>
                  </w:tcMar>
                  <w:vAlign w:val="center"/>
                </w:tcPr>
                <w:p w14:paraId="32CEF553">
                  <w:pPr>
                    <w:widowControl w:val="0"/>
                    <w:spacing w:after="160" w:line="278" w:lineRule="auto"/>
                    <w:rPr>
                      <w:rFonts w:ascii="仿宋" w:hAnsi="仿宋" w:eastAsia="仿宋"/>
                      <w:lang w:val="en-US"/>
                    </w:rPr>
                  </w:pPr>
                  <w:r>
                    <w:rPr>
                      <w:rFonts w:ascii="仿宋" w:hAnsi="仿宋" w:eastAsia="仿宋"/>
                      <w:lang w:val="en-US"/>
                    </w:rPr>
                    <w:t>所选技术、设备、平台的合理性与可实现性；核心算法/模型设计的科学性与有效性；原型验证方案的可行性。</w:t>
                  </w:r>
                </w:p>
              </w:tc>
            </w:tr>
            <w:tr w14:paraId="452C1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353" w:type="dxa"/>
                  <w:shd w:val="clear" w:color="auto" w:fill="FFFFFF"/>
                  <w:tcMar>
                    <w:top w:w="150" w:type="dxa"/>
                    <w:left w:w="0" w:type="dxa"/>
                    <w:bottom w:w="150" w:type="dxa"/>
                    <w:right w:w="240" w:type="dxa"/>
                  </w:tcMar>
                  <w:vAlign w:val="center"/>
                </w:tcPr>
                <w:p w14:paraId="2F21BDBD">
                  <w:pPr>
                    <w:widowControl w:val="0"/>
                    <w:spacing w:after="160" w:line="278" w:lineRule="auto"/>
                    <w:rPr>
                      <w:rFonts w:ascii="仿宋" w:hAnsi="仿宋" w:eastAsia="仿宋"/>
                      <w:lang w:val="en-US"/>
                    </w:rPr>
                  </w:pPr>
                  <w:r>
                    <w:rPr>
                      <w:rFonts w:ascii="仿宋" w:hAnsi="仿宋" w:eastAsia="仿宋"/>
                      <w:b/>
                      <w:bCs/>
                      <w:lang w:val="en-US"/>
                    </w:rPr>
                    <w:t>应用价值与推广潜力</w:t>
                  </w:r>
                </w:p>
              </w:tc>
              <w:tc>
                <w:tcPr>
                  <w:tcW w:w="1052" w:type="dxa"/>
                  <w:shd w:val="clear" w:color="auto" w:fill="FFFFFF"/>
                  <w:tcMar>
                    <w:top w:w="150" w:type="dxa"/>
                    <w:left w:w="240" w:type="dxa"/>
                    <w:bottom w:w="150" w:type="dxa"/>
                    <w:right w:w="240" w:type="dxa"/>
                  </w:tcMar>
                  <w:vAlign w:val="center"/>
                </w:tcPr>
                <w:p w14:paraId="3C78CF0E">
                  <w:pPr>
                    <w:widowControl w:val="0"/>
                    <w:spacing w:after="160" w:line="278" w:lineRule="auto"/>
                    <w:rPr>
                      <w:rFonts w:ascii="仿宋" w:hAnsi="仿宋" w:eastAsia="仿宋"/>
                      <w:lang w:val="en-US"/>
                    </w:rPr>
                  </w:pPr>
                  <w:r>
                    <w:rPr>
                      <w:rFonts w:ascii="仿宋" w:hAnsi="仿宋" w:eastAsia="仿宋"/>
                      <w:lang w:val="en-US"/>
                    </w:rPr>
                    <w:t>20%</w:t>
                  </w:r>
                </w:p>
              </w:tc>
              <w:tc>
                <w:tcPr>
                  <w:tcW w:w="3402" w:type="dxa"/>
                  <w:shd w:val="clear" w:color="auto" w:fill="FFFFFF"/>
                  <w:tcMar>
                    <w:top w:w="150" w:type="dxa"/>
                    <w:left w:w="240" w:type="dxa"/>
                    <w:bottom w:w="150" w:type="dxa"/>
                    <w:right w:w="0" w:type="dxa"/>
                  </w:tcMar>
                  <w:vAlign w:val="center"/>
                </w:tcPr>
                <w:p w14:paraId="01AC2C4C">
                  <w:pPr>
                    <w:widowControl w:val="0"/>
                    <w:spacing w:after="160" w:line="278" w:lineRule="auto"/>
                    <w:rPr>
                      <w:rFonts w:ascii="仿宋" w:hAnsi="仿宋" w:eastAsia="仿宋"/>
                      <w:lang w:val="en-US"/>
                    </w:rPr>
                  </w:pPr>
                  <w:r>
                    <w:rPr>
                      <w:rFonts w:ascii="仿宋" w:hAnsi="仿宋" w:eastAsia="仿宋"/>
                      <w:lang w:val="en-US"/>
                    </w:rPr>
                    <w:t>是否精准匹配实际业务需求；应用场景的覆盖广度与深度；方案的可复制性、可扩展性及产业化前景。</w:t>
                  </w:r>
                </w:p>
              </w:tc>
            </w:tr>
            <w:tr w14:paraId="12105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353" w:type="dxa"/>
                  <w:shd w:val="clear" w:color="auto" w:fill="FFFFFF"/>
                  <w:tcMar>
                    <w:top w:w="150" w:type="dxa"/>
                    <w:left w:w="0" w:type="dxa"/>
                    <w:bottom w:w="150" w:type="dxa"/>
                    <w:right w:w="240" w:type="dxa"/>
                  </w:tcMar>
                  <w:vAlign w:val="center"/>
                </w:tcPr>
                <w:p w14:paraId="483275AA">
                  <w:pPr>
                    <w:widowControl w:val="0"/>
                    <w:spacing w:after="160" w:line="278" w:lineRule="auto"/>
                    <w:rPr>
                      <w:rFonts w:ascii="仿宋" w:hAnsi="仿宋" w:eastAsia="仿宋"/>
                      <w:lang w:val="en-US"/>
                    </w:rPr>
                  </w:pPr>
                  <w:r>
                    <w:rPr>
                      <w:rFonts w:ascii="仿宋" w:hAnsi="仿宋" w:eastAsia="仿宋"/>
                      <w:b/>
                      <w:bCs/>
                      <w:lang w:val="en-US"/>
                    </w:rPr>
                    <w:t>文档与表达质量</w:t>
                  </w:r>
                </w:p>
              </w:tc>
              <w:tc>
                <w:tcPr>
                  <w:tcW w:w="1052" w:type="dxa"/>
                  <w:shd w:val="clear" w:color="auto" w:fill="FFFFFF"/>
                  <w:tcMar>
                    <w:top w:w="150" w:type="dxa"/>
                    <w:left w:w="240" w:type="dxa"/>
                    <w:bottom w:w="150" w:type="dxa"/>
                    <w:right w:w="240" w:type="dxa"/>
                  </w:tcMar>
                  <w:vAlign w:val="center"/>
                </w:tcPr>
                <w:p w14:paraId="52D8D977">
                  <w:pPr>
                    <w:widowControl w:val="0"/>
                    <w:spacing w:after="160" w:line="278" w:lineRule="auto"/>
                    <w:rPr>
                      <w:rFonts w:ascii="仿宋" w:hAnsi="仿宋" w:eastAsia="仿宋"/>
                      <w:lang w:val="en-US"/>
                    </w:rPr>
                  </w:pPr>
                  <w:r>
                    <w:rPr>
                      <w:rFonts w:ascii="仿宋" w:hAnsi="仿宋" w:eastAsia="仿宋"/>
                      <w:lang w:val="en-US"/>
                    </w:rPr>
                    <w:t>10%</w:t>
                  </w:r>
                </w:p>
              </w:tc>
              <w:tc>
                <w:tcPr>
                  <w:tcW w:w="3402" w:type="dxa"/>
                  <w:shd w:val="clear" w:color="auto" w:fill="FFFFFF"/>
                  <w:tcMar>
                    <w:top w:w="150" w:type="dxa"/>
                    <w:left w:w="240" w:type="dxa"/>
                    <w:bottom w:w="150" w:type="dxa"/>
                    <w:right w:w="0" w:type="dxa"/>
                  </w:tcMar>
                  <w:vAlign w:val="center"/>
                </w:tcPr>
                <w:p w14:paraId="641B9AD9">
                  <w:pPr>
                    <w:widowControl w:val="0"/>
                    <w:spacing w:after="160" w:line="278" w:lineRule="auto"/>
                    <w:rPr>
                      <w:rFonts w:ascii="仿宋" w:hAnsi="仿宋" w:eastAsia="仿宋"/>
                      <w:lang w:val="en-US"/>
                    </w:rPr>
                  </w:pPr>
                  <w:r>
                    <w:rPr>
                      <w:rFonts w:ascii="仿宋" w:hAnsi="仿宋" w:eastAsia="仿宋"/>
                      <w:lang w:val="en-US"/>
                    </w:rPr>
                    <w:t>方案文档结构清晰、逻辑严谨、论述充分；图文表达准确、专业；演示材料（如有）生动、直观。</w:t>
                  </w:r>
                </w:p>
              </w:tc>
            </w:tr>
          </w:tbl>
          <w:p w14:paraId="38C7638B">
            <w:pPr>
              <w:overflowPunct w:val="0"/>
              <w:adjustRightInd w:val="0"/>
              <w:snapToGrid w:val="0"/>
              <w:rPr>
                <w:rFonts w:hint="eastAsia" w:ascii="仿宋_GB2312" w:hAnsi="仿宋_GB2312" w:eastAsia="仿宋_GB2312" w:cs="仿宋_GB2312"/>
                <w:bCs/>
                <w:color w:val="000000"/>
                <w:spacing w:val="6"/>
                <w:szCs w:val="28"/>
                <w:lang w:val="en-US"/>
              </w:rPr>
            </w:pPr>
          </w:p>
        </w:tc>
      </w:tr>
      <w:tr w14:paraId="2E89A8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74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21D6725">
            <w:pPr>
              <w:overflowPunct w:val="0"/>
              <w:adjustRightInd w:val="0"/>
              <w:snapToGrid w:val="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60A070B">
            <w:pPr>
              <w:overflowPunct w:val="0"/>
              <w:adjustRightInd w:val="0"/>
              <w:snapToGrid w:val="0"/>
              <w:ind w:firstLine="480"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color w:val="000000"/>
              </w:rPr>
              <w:t>无。</w:t>
            </w:r>
          </w:p>
        </w:tc>
      </w:tr>
    </w:tbl>
    <w:p w14:paraId="44A369DC">
      <w:pPr>
        <w:rPr>
          <w:rFonts w:ascii="方正黑体简体" w:eastAsia="方正黑体简体"/>
          <w:bCs/>
          <w:spacing w:val="6"/>
          <w:sz w:val="32"/>
          <w:szCs w:val="32"/>
        </w:rPr>
      </w:pPr>
      <w:r>
        <w:rPr>
          <w:rFonts w:hint="eastAsia" w:ascii="方正黑体简体" w:eastAsia="方正黑体简体"/>
          <w:bCs/>
          <w:spacing w:val="6"/>
          <w:sz w:val="32"/>
          <w:szCs w:val="32"/>
        </w:rPr>
        <w:br w:type="page"/>
      </w:r>
    </w:p>
    <w:p w14:paraId="7DCBB104">
      <w:pPr>
        <w:tabs>
          <w:tab w:val="left" w:pos="8640"/>
        </w:tabs>
        <w:adjustRightInd w:val="0"/>
        <w:snapToGrid w:val="0"/>
        <w:spacing w:line="440" w:lineRule="exact"/>
        <w:rPr>
          <w:rFonts w:ascii="方正黑体简体" w:eastAsia="方正黑体简体"/>
          <w:bCs/>
          <w:spacing w:val="6"/>
          <w:sz w:val="32"/>
          <w:szCs w:val="32"/>
        </w:rPr>
      </w:pPr>
      <w:r>
        <w:rPr>
          <w:rFonts w:hint="eastAsia" w:ascii="方正黑体简体" w:eastAsia="方正黑体简体"/>
          <w:bCs/>
          <w:spacing w:val="6"/>
          <w:sz w:val="32"/>
          <w:szCs w:val="32"/>
        </w:rPr>
        <w:t>三、激励保障</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325126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414"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07805C8">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lang w:val="en-US"/>
              </w:rPr>
              <w:t>保障</w:t>
            </w:r>
            <w:r>
              <w:rPr>
                <w:rFonts w:hint="eastAsia" w:ascii="楷体_GB2312" w:hAnsi="楷体_GB2312" w:eastAsia="楷体_GB2312" w:cs="楷体_GB2312"/>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35007A5">
            <w:pPr>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为确保大赛公平、顺利举行，并激励优秀团队脱颖而出，主办方承诺提供以下保障：</w:t>
            </w:r>
          </w:p>
          <w:p w14:paraId="00420D2D">
            <w:pPr>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技术指导与咨询：组建由行业专家、高校教授、企业工程师构成的专家顾问团，通过线上讲座、答疑等方式，为参赛团队提供技术方向指导和咨询。</w:t>
            </w:r>
          </w:p>
          <w:p w14:paraId="01002EB9">
            <w:pPr>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成果转化服务：对于优胜团队，特别是具有重大创新和实用价值的方案：</w:t>
            </w:r>
          </w:p>
          <w:p w14:paraId="7F0D2B99">
            <w:pPr>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协助对接产业园区、创投基金、相关龙头企业，推动方案孵化和成果转化。</w:t>
            </w:r>
          </w:p>
          <w:p w14:paraId="374E843B">
            <w:pPr>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在符合政策条件下，优先推荐参与相关领域的国家或地方科技计划项目。</w:t>
            </w:r>
          </w:p>
          <w:p w14:paraId="5A339D07">
            <w:pPr>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提供知识产权申请相关咨询与便利服务。</w:t>
            </w:r>
          </w:p>
          <w:p w14:paraId="4CB5A42E">
            <w:pPr>
              <w:adjustRightInd w:val="0"/>
              <w:snapToGrid w:val="0"/>
              <w:ind w:firstLine="504" w:firstLineChars="200"/>
              <w:jc w:val="both"/>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交流与宣传平台：组织决赛路演、成果展示会，邀请媒体进行报道，为优秀团队提供高水平的行业曝光和交流机会。</w:t>
            </w:r>
          </w:p>
        </w:tc>
      </w:tr>
      <w:tr w14:paraId="651FEC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4621"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D5EEA93">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8CCF565">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一、奖项设置</w:t>
            </w:r>
          </w:p>
          <w:p w14:paraId="5E994D99">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eastAsia="zh-CN"/>
              </w:rPr>
              <w:t>原则上设“擂主”团队1个，</w:t>
            </w:r>
            <w:r>
              <w:rPr>
                <w:rFonts w:hint="eastAsia" w:ascii="仿宋_GB2312" w:hAnsi="仿宋_GB2312" w:eastAsia="仿宋_GB2312" w:cs="仿宋_GB2312"/>
                <w:bCs/>
                <w:color w:val="000000"/>
                <w:spacing w:val="6"/>
                <w:szCs w:val="28"/>
                <w:lang w:val="en-US"/>
              </w:rPr>
              <w:t>根据实际情况评出相应的特等奖、一等奖、二等奖、三等奖项目若干。</w:t>
            </w:r>
          </w:p>
          <w:p w14:paraId="0F7F3DF0">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二、 激励措施</w:t>
            </w:r>
          </w:p>
          <w:p w14:paraId="0D6B1989">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针对“擂主”团队，将开展后期项目落地及创业实践。</w:t>
            </w:r>
          </w:p>
          <w:p w14:paraId="2B69424A">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为部分优秀获奖团队提供线下实习工作机会，并由本单位出具实习证明。</w:t>
            </w:r>
          </w:p>
        </w:tc>
      </w:tr>
    </w:tbl>
    <w:p w14:paraId="1E59560E">
      <w:pPr>
        <w:tabs>
          <w:tab w:val="left" w:pos="8640"/>
        </w:tabs>
        <w:adjustRightInd w:val="0"/>
        <w:snapToGrid w:val="0"/>
        <w:spacing w:line="560" w:lineRule="exact"/>
        <w:rPr>
          <w:rFonts w:ascii="方正黑体简体" w:eastAsia="方正黑体简体"/>
          <w:bCs/>
          <w:spacing w:val="6"/>
          <w:sz w:val="32"/>
          <w:szCs w:val="32"/>
          <w:lang w:val="en-US"/>
        </w:rPr>
      </w:pPr>
      <w:r>
        <w:rPr>
          <w:rFonts w:hint="eastAsia" w:ascii="方正黑体简体" w:eastAsia="方正黑体简体"/>
          <w:bCs/>
          <w:spacing w:val="6"/>
          <w:sz w:val="32"/>
          <w:szCs w:val="32"/>
          <w:lang w:val="en-US"/>
        </w:rPr>
        <w:t>四、选题意义</w:t>
      </w:r>
    </w:p>
    <w:tbl>
      <w:tblPr>
        <w:tblStyle w:val="1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18FE4D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2E0D5FA8">
            <w:pPr>
              <w:overflowPunct w:val="0"/>
              <w:adjustRightInd w:val="0"/>
              <w:snapToGrid w:val="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B69A44">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推动多源对地观测技术融合创新：本选题将促进卫星遥感、无人机遥感和物联网传感技术的深度交叉与协同应用，推动形成新一代“空天地一体化”智能感知技术体系。</w:t>
            </w:r>
          </w:p>
          <w:p w14:paraId="1E490EFA">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攻克智能化解译与预警核心技术：针对海量、异构、多尺度的地貌监测数据，研究高效的数据融合、特征提取与智能分析算法，有助于突破当前地理信息处理自动化、智能化的瓶颈。</w:t>
            </w:r>
          </w:p>
          <w:p w14:paraId="73D0525A">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引领行业技术标准与发展方向：成功的设计方案有望为相关行业（自然资源、应急管理、交通水利）构建现代化监测体系提供技术范式和标准参考，引领行业技术升级。</w:t>
            </w:r>
          </w:p>
          <w:p w14:paraId="6EA8AD23">
            <w:pPr>
              <w:overflowPunct w:val="0"/>
              <w:adjustRightInd w:val="0"/>
              <w:snapToGrid w:val="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促进国产化软硬件生态发展：鼓励方案中优先考虑或兼容国产卫星数据、传感器、</w:t>
            </w:r>
            <w:r>
              <w:rPr>
                <w:rFonts w:ascii="仿宋_GB2312" w:hAnsi="仿宋_GB2312" w:eastAsia="仿宋_GB2312" w:cs="仿宋_GB2312"/>
                <w:bCs/>
                <w:color w:val="000000"/>
                <w:spacing w:val="6"/>
                <w:szCs w:val="28"/>
              </w:rPr>
              <w:t>AI</w:t>
            </w:r>
            <w:r>
              <w:rPr>
                <w:rFonts w:hint="eastAsia" w:ascii="仿宋_GB2312" w:hAnsi="仿宋_GB2312" w:eastAsia="仿宋_GB2312" w:cs="仿宋_GB2312"/>
                <w:bCs/>
                <w:color w:val="000000"/>
                <w:spacing w:val="6"/>
                <w:szCs w:val="28"/>
              </w:rPr>
              <w:t>框架与</w:t>
            </w:r>
            <w:r>
              <w:rPr>
                <w:rFonts w:ascii="仿宋_GB2312" w:hAnsi="仿宋_GB2312" w:eastAsia="仿宋_GB2312" w:cs="仿宋_GB2312"/>
                <w:bCs/>
                <w:color w:val="000000"/>
                <w:spacing w:val="6"/>
                <w:szCs w:val="28"/>
              </w:rPr>
              <w:t>GIS</w:t>
            </w:r>
            <w:r>
              <w:rPr>
                <w:rFonts w:hint="eastAsia" w:ascii="仿宋_GB2312" w:hAnsi="仿宋_GB2312" w:eastAsia="仿宋_GB2312" w:cs="仿宋_GB2312"/>
                <w:bCs/>
                <w:color w:val="000000"/>
                <w:spacing w:val="6"/>
                <w:szCs w:val="28"/>
              </w:rPr>
              <w:t>平台，对提升我国在该领域的技术自主可控能力具有积极意义。</w:t>
            </w:r>
          </w:p>
        </w:tc>
      </w:tr>
      <w:tr w14:paraId="1BA64E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8825A6">
            <w:pPr>
              <w:overflowPunct w:val="0"/>
              <w:adjustRightInd w:val="0"/>
              <w:snapToGrid w:val="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082222">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经济效益：</w:t>
            </w:r>
          </w:p>
          <w:p w14:paraId="0A12314C">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降低灾害损失：通过精准预警，可极大减少因地质灾害造成的人员伤亡和财产损失（如道路中断、房屋损毁、工程损毁）。</w:t>
            </w:r>
          </w:p>
          <w:p w14:paraId="76F9D3E6">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节约监测成本：智能化、自动化的系统可大幅减少长期人工巡查、监测的人力物力投入，实现降本增效。</w:t>
            </w:r>
          </w:p>
          <w:p w14:paraId="69430D99">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创造新兴产业：带动高端传感器制造、无人机服务、遥感数据处理、地理信息软件开发等相关产业发展，创造新的经济增长点。</w:t>
            </w:r>
          </w:p>
          <w:p w14:paraId="4C6D87EA">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社会效益：</w:t>
            </w:r>
          </w:p>
          <w:p w14:paraId="2103F3FA">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保障公共安全：提升对重大自然灾害和工程风险的预警能力，是“平安中国”建设的重要技术支撑。</w:t>
            </w:r>
          </w:p>
          <w:p w14:paraId="2FB37ABD">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支撑科学决策：为国土空间规划、重大工程项目选址、生态环境保护提供精准、动态的数据基础，促进可持续发展。</w:t>
            </w:r>
          </w:p>
          <w:p w14:paraId="5033314A">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提升治理能力：赋能自然资源、应急管理等部门的现代化治理能力，实现从被动应对到主动防控的转变。</w:t>
            </w:r>
          </w:p>
        </w:tc>
      </w:tr>
    </w:tbl>
    <w:p w14:paraId="3B6A89F4">
      <w:pPr>
        <w:rPr>
          <w:rFonts w:hint="eastAsia" w:ascii="楷体_GB2312" w:hAnsi="楷体_GB2312" w:eastAsia="楷体_GB2312" w:cs="楷体_GB2312"/>
        </w:rPr>
      </w:pPr>
      <w:r>
        <w:rPr>
          <w:rFonts w:hint="eastAsia" w:ascii="楷体_GB2312" w:hAnsi="楷体_GB2312" w:eastAsia="楷体_GB2312" w:cs="楷体_GB2312"/>
        </w:rPr>
        <w:br w:type="page"/>
      </w:r>
    </w:p>
    <w:p w14:paraId="36059987">
      <w:pPr>
        <w:spacing w:line="121" w:lineRule="exact"/>
        <w:ind w:firstLine="1685"/>
      </w:pPr>
      <w:r>
        <w:rPr>
          <w:position w:val="-2"/>
        </w:rPr>
        <w:drawing>
          <wp:inline distT="0" distB="0" distL="0" distR="0">
            <wp:extent cx="95250" cy="7620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0"/>
                    <a:stretch>
                      <a:fillRect/>
                    </a:stretch>
                  </pic:blipFill>
                  <pic:spPr>
                    <a:xfrm>
                      <a:off x="0" y="0"/>
                      <a:ext cx="95271" cy="76293"/>
                    </a:xfrm>
                    <a:prstGeom prst="rect">
                      <a:avLst/>
                    </a:prstGeom>
                  </pic:spPr>
                </pic:pic>
              </a:graphicData>
            </a:graphic>
          </wp:inline>
        </w:drawing>
      </w:r>
    </w:p>
    <w:p w14:paraId="24503241">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“青智未来”新质生产力</w:t>
      </w:r>
      <w:r>
        <w:rPr>
          <w:rFonts w:hint="default" w:ascii="Times New Roman" w:hAnsi="Times New Roman" w:eastAsia="方正小标宋简体" w:cs="Times New Roman"/>
          <w:b w:val="0"/>
          <w:bCs/>
          <w:kern w:val="2"/>
          <w:sz w:val="44"/>
          <w:szCs w:val="32"/>
          <w:highlight w:val="none"/>
          <w:lang w:val="en-US" w:eastAsia="zh-CN"/>
        </w:rPr>
        <w:t>专项赛</w:t>
      </w:r>
    </w:p>
    <w:p w14:paraId="6F7696F4">
      <w:pPr>
        <w:keepNext w:val="0"/>
        <w:keepLines w:val="0"/>
        <w:pageBreakBefore w:val="0"/>
        <w:widowControl w:val="0"/>
        <w:tabs>
          <w:tab w:val="left" w:pos="8640"/>
        </w:tabs>
        <w:kinsoku/>
        <w:wordWrap w:val="0"/>
        <w:topLinePunct w:val="0"/>
        <w:autoSpaceDE/>
        <w:autoSpaceDN/>
        <w:bidi w:val="0"/>
        <w:adjustRightInd w:val="0"/>
        <w:snapToGrid w:val="0"/>
        <w:spacing w:line="560" w:lineRule="exact"/>
        <w:jc w:val="center"/>
        <w:rPr>
          <w:rFonts w:hint="default" w:ascii="Times New Roman" w:hAnsi="Times New Roman" w:eastAsia="方正小标宋简体" w:cs="Times New Roman"/>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—1</w:t>
      </w:r>
      <w:r>
        <w:rPr>
          <w:rFonts w:hint="eastAsia" w:eastAsia="方正小标宋简体" w:cs="方正小标宋简体"/>
          <w:b w:val="0"/>
          <w:bCs/>
          <w:kern w:val="2"/>
          <w:sz w:val="44"/>
          <w:szCs w:val="32"/>
          <w:highlight w:val="none"/>
          <w:lang w:val="en-US" w:eastAsia="zh-CN"/>
        </w:rPr>
        <w:t>5</w:t>
      </w:r>
    </w:p>
    <w:p w14:paraId="036F612D">
      <w:pPr>
        <w:keepNext w:val="0"/>
        <w:keepLines w:val="0"/>
        <w:pageBreakBefore w:val="0"/>
        <w:widowControl w:val="0"/>
        <w:tabs>
          <w:tab w:val="left" w:pos="8640"/>
        </w:tabs>
        <w:kinsoku/>
        <w:wordWrap w:val="0"/>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b w:val="0"/>
          <w:bCs/>
          <w:kern w:val="2"/>
          <w:sz w:val="32"/>
          <w:szCs w:val="22"/>
          <w:highlight w:val="none"/>
          <w:lang w:val="en-US" w:eastAsia="zh-CN"/>
        </w:rPr>
      </w:pPr>
    </w:p>
    <w:p w14:paraId="36E1492C">
      <w:pPr>
        <w:tabs>
          <w:tab w:val="left" w:pos="8640"/>
        </w:tabs>
        <w:adjustRightInd w:val="0"/>
        <w:snapToGrid w:val="0"/>
        <w:spacing w:line="440" w:lineRule="exact"/>
        <w:rPr>
          <w:rFonts w:hint="eastAsia" w:ascii="方正黑体简体" w:hAnsi="Times New Roman" w:eastAsia="方正黑体简体" w:cs="Times New Roman"/>
          <w:bCs/>
          <w:spacing w:val="6"/>
          <w:sz w:val="32"/>
          <w:szCs w:val="32"/>
        </w:rPr>
      </w:pPr>
      <w:r>
        <w:rPr>
          <w:rFonts w:hint="eastAsia" w:ascii="方正黑体简体" w:hAnsi="Times New Roman" w:eastAsia="方正黑体简体" w:cs="Times New Roman"/>
          <w:bCs/>
          <w:spacing w:val="6"/>
          <w:sz w:val="32"/>
          <w:szCs w:val="32"/>
        </w:rPr>
        <w:t>一、单位信息</w:t>
      </w:r>
    </w:p>
    <w:tbl>
      <w:tblPr>
        <w:tblStyle w:val="27"/>
        <w:tblW w:w="8613" w:type="dxa"/>
        <w:tblInd w:w="10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53"/>
        <w:gridCol w:w="3119"/>
        <w:gridCol w:w="1069"/>
        <w:gridCol w:w="2719"/>
        <w:gridCol w:w="53"/>
      </w:tblGrid>
      <w:tr w14:paraId="49853C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53" w:type="dxa"/>
          <w:trHeight w:val="447" w:hRule="atLeast"/>
        </w:trPr>
        <w:tc>
          <w:tcPr>
            <w:tcW w:w="1653" w:type="dxa"/>
            <w:vAlign w:val="center"/>
          </w:tcPr>
          <w:p w14:paraId="4252FF51">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单</w:t>
            </w:r>
            <w:r>
              <w:rPr>
                <w:rFonts w:hint="eastAsia" w:ascii="楷体_GB2312" w:hAnsi="楷体_GB2312" w:eastAsia="楷体_GB2312" w:cs="楷体_GB2312"/>
                <w:color w:val="000000"/>
                <w:sz w:val="28"/>
                <w:szCs w:val="28"/>
                <w:lang w:val="en-US" w:eastAsia="zh-CN"/>
              </w:rPr>
              <w:t>位</w:t>
            </w:r>
            <w:r>
              <w:rPr>
                <w:rFonts w:hint="eastAsia" w:ascii="楷体_GB2312" w:hAnsi="楷体_GB2312" w:eastAsia="楷体_GB2312" w:cs="楷体_GB2312"/>
                <w:color w:val="000000"/>
                <w:sz w:val="28"/>
                <w:szCs w:val="28"/>
              </w:rPr>
              <w:t>名称</w:t>
            </w:r>
          </w:p>
        </w:tc>
        <w:tc>
          <w:tcPr>
            <w:tcW w:w="6907" w:type="dxa"/>
            <w:gridSpan w:val="3"/>
            <w:vAlign w:val="center"/>
          </w:tcPr>
          <w:p w14:paraId="19301B24">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中都数科供应链管理有限公司</w:t>
            </w:r>
          </w:p>
        </w:tc>
      </w:tr>
      <w:tr w14:paraId="199A7F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53" w:type="dxa"/>
          <w:trHeight w:val="579" w:hRule="atLeast"/>
        </w:trPr>
        <w:tc>
          <w:tcPr>
            <w:tcW w:w="1653" w:type="dxa"/>
            <w:vAlign w:val="center"/>
          </w:tcPr>
          <w:p w14:paraId="4770C912">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单位类型</w:t>
            </w:r>
          </w:p>
        </w:tc>
        <w:tc>
          <w:tcPr>
            <w:tcW w:w="6907" w:type="dxa"/>
            <w:gridSpan w:val="3"/>
            <w:vAlign w:val="center"/>
          </w:tcPr>
          <w:p w14:paraId="4A19D427">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国有企业</w:t>
            </w:r>
          </w:p>
        </w:tc>
      </w:tr>
      <w:tr w14:paraId="294727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53" w:type="dxa"/>
          <w:trHeight w:val="569" w:hRule="atLeast"/>
        </w:trPr>
        <w:tc>
          <w:tcPr>
            <w:tcW w:w="1653" w:type="dxa"/>
            <w:vAlign w:val="center"/>
          </w:tcPr>
          <w:p w14:paraId="2CF49101">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地址</w:t>
            </w:r>
          </w:p>
        </w:tc>
        <w:tc>
          <w:tcPr>
            <w:tcW w:w="6907" w:type="dxa"/>
            <w:gridSpan w:val="3"/>
            <w:vAlign w:val="center"/>
          </w:tcPr>
          <w:p w14:paraId="1F384951">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北京市顺义区西盈路19号院</w:t>
            </w:r>
          </w:p>
        </w:tc>
      </w:tr>
      <w:tr w14:paraId="4F041E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53" w:type="dxa"/>
          <w:trHeight w:val="7977" w:hRule="atLeast"/>
        </w:trPr>
        <w:tc>
          <w:tcPr>
            <w:tcW w:w="1653" w:type="dxa"/>
            <w:vAlign w:val="center"/>
          </w:tcPr>
          <w:p w14:paraId="135AD94D">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单位简介</w:t>
            </w:r>
          </w:p>
        </w:tc>
        <w:tc>
          <w:tcPr>
            <w:tcW w:w="6907" w:type="dxa"/>
            <w:gridSpan w:val="3"/>
            <w:vAlign w:val="center"/>
          </w:tcPr>
          <w:p w14:paraId="170F99A7">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中都数科供应链管理有限公司</w:t>
            </w:r>
            <w:r>
              <w:rPr>
                <w:rFonts w:hint="eastAsia" w:ascii="仿宋_GB2312" w:hAnsi="仿宋_GB2312" w:eastAsia="仿宋_GB2312" w:cs="仿宋_GB2312"/>
                <w:bCs/>
                <w:color w:val="000000"/>
                <w:spacing w:val="6"/>
                <w:szCs w:val="28"/>
                <w:lang w:val="en-US" w:eastAsia="zh-CN"/>
              </w:rPr>
              <w:t>（</w:t>
            </w:r>
            <w:r>
              <w:rPr>
                <w:rFonts w:hint="eastAsia" w:ascii="仿宋_GB2312" w:hAnsi="仿宋_GB2312" w:eastAsia="仿宋_GB2312" w:cs="仿宋_GB2312"/>
                <w:bCs/>
                <w:color w:val="000000"/>
                <w:spacing w:val="6"/>
                <w:szCs w:val="28"/>
                <w:lang w:val="en-US"/>
              </w:rPr>
              <w:t>原中都物流有限公司</w:t>
            </w:r>
            <w:r>
              <w:rPr>
                <w:rFonts w:hint="eastAsia" w:ascii="仿宋_GB2312" w:hAnsi="仿宋_GB2312" w:eastAsia="仿宋_GB2312" w:cs="仿宋_GB2312"/>
                <w:bCs/>
                <w:color w:val="000000"/>
                <w:spacing w:val="6"/>
                <w:szCs w:val="28"/>
                <w:lang w:val="en-US" w:eastAsia="zh-CN"/>
              </w:rPr>
              <w:t>）</w:t>
            </w:r>
            <w:r>
              <w:rPr>
                <w:rFonts w:hint="eastAsia" w:ascii="仿宋_GB2312" w:hAnsi="仿宋_GB2312" w:eastAsia="仿宋_GB2312" w:cs="仿宋_GB2312"/>
                <w:bCs/>
                <w:color w:val="000000"/>
                <w:spacing w:val="6"/>
                <w:szCs w:val="28"/>
                <w:lang w:val="en-US"/>
              </w:rPr>
              <w:t>成立于2008年，是北汽集团旗下北汽鹏龙物流业务板块核心企业，5A级物流企业、国家高新技术企业、北京市专精特新中小企业、北京市企业技术中心、全国先进物流企业。</w:t>
            </w:r>
          </w:p>
          <w:p w14:paraId="11BCF269">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公司立足汽车产业，面向乘用车、商用车、智能电动汽车、社会车辆等市场，形成整车及零部件仓储、运输两大核心基础业务。公司锚定智慧型供应链企业成长目标，构建业务数字化核心力，截至2025年底，累计获得专利46项，软著136项</w:t>
            </w:r>
          </w:p>
          <w:p w14:paraId="16B38075">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推动智慧物流实验室、自动驾驶、人工智能、人形机器等技术在行业前沿应用研究。</w:t>
            </w:r>
          </w:p>
          <w:p w14:paraId="1E2857DE">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2025年公司正式更名为中都数科供应链管理有限公司</w:t>
            </w:r>
          </w:p>
          <w:p w14:paraId="0696EF27">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开启战略发展的全新升级。未来，中都数科将以数智科技为驱动，以汽车供应链全局视角，探索供应链服务数字化、智能化、绿色化发展，通过智能化作业、端到端流程变革，数据驱动运作模式化，提升作业效率、客户体验，降低运营成本，为汽车产业上下游客户提供有温度、高品质、可信赖的一站式全生命周期供应链服务。</w:t>
            </w:r>
          </w:p>
        </w:tc>
      </w:tr>
      <w:tr w14:paraId="03B53E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1653" w:type="dxa"/>
            <w:vAlign w:val="top"/>
          </w:tcPr>
          <w:p w14:paraId="1AC7A037">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联系人</w:t>
            </w:r>
          </w:p>
        </w:tc>
        <w:tc>
          <w:tcPr>
            <w:tcW w:w="3119" w:type="dxa"/>
            <w:vAlign w:val="top"/>
          </w:tcPr>
          <w:p w14:paraId="1209DBDA">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李微</w:t>
            </w:r>
          </w:p>
          <w:p w14:paraId="39332E90">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刘占胜</w:t>
            </w:r>
          </w:p>
        </w:tc>
        <w:tc>
          <w:tcPr>
            <w:tcW w:w="1069" w:type="dxa"/>
            <w:vAlign w:val="top"/>
          </w:tcPr>
          <w:p w14:paraId="0092502D">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职务</w:t>
            </w:r>
          </w:p>
        </w:tc>
        <w:tc>
          <w:tcPr>
            <w:tcW w:w="2772" w:type="dxa"/>
            <w:gridSpan w:val="2"/>
            <w:vAlign w:val="top"/>
          </w:tcPr>
          <w:p w14:paraId="72F96944">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人力总监</w:t>
            </w:r>
          </w:p>
        </w:tc>
      </w:tr>
      <w:tr w14:paraId="4E9BD1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1653" w:type="dxa"/>
            <w:vAlign w:val="top"/>
          </w:tcPr>
          <w:p w14:paraId="0A4C2849">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联系方式</w:t>
            </w:r>
          </w:p>
        </w:tc>
        <w:tc>
          <w:tcPr>
            <w:tcW w:w="3119" w:type="dxa"/>
            <w:vAlign w:val="top"/>
          </w:tcPr>
          <w:p w14:paraId="6D10A7D7">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18511189920</w:t>
            </w:r>
          </w:p>
          <w:p w14:paraId="2B384221">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18513851313</w:t>
            </w:r>
          </w:p>
        </w:tc>
        <w:tc>
          <w:tcPr>
            <w:tcW w:w="1069" w:type="dxa"/>
            <w:vAlign w:val="top"/>
          </w:tcPr>
          <w:p w14:paraId="4660AF19">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微信</w:t>
            </w:r>
          </w:p>
        </w:tc>
        <w:tc>
          <w:tcPr>
            <w:tcW w:w="2772" w:type="dxa"/>
            <w:gridSpan w:val="2"/>
            <w:vAlign w:val="top"/>
          </w:tcPr>
          <w:p w14:paraId="1D905D68">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同手机号</w:t>
            </w:r>
          </w:p>
        </w:tc>
      </w:tr>
    </w:tbl>
    <w:p w14:paraId="3F75EDA2">
      <w:pPr>
        <w:tabs>
          <w:tab w:val="left" w:pos="8640"/>
        </w:tabs>
        <w:adjustRightInd w:val="0"/>
        <w:snapToGrid w:val="0"/>
        <w:spacing w:line="440" w:lineRule="exact"/>
        <w:rPr>
          <w:rFonts w:hint="eastAsia" w:ascii="方正黑体简体" w:hAnsi="Times New Roman" w:eastAsia="方正黑体简体" w:cs="Times New Roman"/>
          <w:bCs/>
          <w:spacing w:val="6"/>
          <w:sz w:val="32"/>
          <w:szCs w:val="32"/>
        </w:rPr>
      </w:pPr>
    </w:p>
    <w:p w14:paraId="7C47455E">
      <w:pPr>
        <w:tabs>
          <w:tab w:val="left" w:pos="8640"/>
        </w:tabs>
        <w:adjustRightInd w:val="0"/>
        <w:snapToGrid w:val="0"/>
        <w:spacing w:line="440" w:lineRule="exact"/>
        <w:rPr>
          <w:rFonts w:hint="eastAsia" w:ascii="方正黑体简体" w:hAnsi="Times New Roman" w:eastAsia="方正黑体简体" w:cs="Times New Roman"/>
          <w:bCs/>
          <w:spacing w:val="6"/>
          <w:sz w:val="32"/>
          <w:szCs w:val="32"/>
        </w:rPr>
      </w:pPr>
    </w:p>
    <w:p w14:paraId="4759BACD">
      <w:pPr>
        <w:tabs>
          <w:tab w:val="left" w:pos="8640"/>
        </w:tabs>
        <w:adjustRightInd w:val="0"/>
        <w:snapToGrid w:val="0"/>
        <w:spacing w:line="440" w:lineRule="exact"/>
        <w:rPr>
          <w:rFonts w:hint="eastAsia" w:ascii="方正黑体简体" w:hAnsi="Times New Roman" w:eastAsia="方正黑体简体" w:cs="Times New Roman"/>
          <w:bCs/>
          <w:spacing w:val="6"/>
          <w:sz w:val="32"/>
          <w:szCs w:val="32"/>
        </w:rPr>
      </w:pPr>
      <w:r>
        <w:rPr>
          <w:rFonts w:hint="eastAsia" w:ascii="方正黑体简体" w:hAnsi="Times New Roman" w:eastAsia="方正黑体简体" w:cs="Times New Roman"/>
          <w:bCs/>
          <w:spacing w:val="6"/>
          <w:sz w:val="32"/>
          <w:szCs w:val="32"/>
        </w:rPr>
        <w:t>二、选题说明</w:t>
      </w:r>
    </w:p>
    <w:tbl>
      <w:tblPr>
        <w:tblStyle w:val="27"/>
        <w:tblW w:w="8468" w:type="dxa"/>
        <w:tblInd w:w="1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
        <w:gridCol w:w="1813"/>
        <w:gridCol w:w="19"/>
        <w:gridCol w:w="6598"/>
        <w:gridCol w:w="29"/>
      </w:tblGrid>
      <w:tr w14:paraId="5CA661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9" w:type="dxa"/>
          <w:trHeight w:val="1104" w:hRule="atLeast"/>
        </w:trPr>
        <w:tc>
          <w:tcPr>
            <w:tcW w:w="1822" w:type="dxa"/>
            <w:gridSpan w:val="2"/>
            <w:vAlign w:val="center"/>
          </w:tcPr>
          <w:p w14:paraId="09A454C5">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选题题目</w:t>
            </w:r>
          </w:p>
        </w:tc>
        <w:tc>
          <w:tcPr>
            <w:tcW w:w="6617" w:type="dxa"/>
            <w:gridSpan w:val="2"/>
            <w:vAlign w:val="center"/>
          </w:tcPr>
          <w:p w14:paraId="3E2B9362">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基于AI图像识别的整车物流装载合规性智能检测解决方案</w:t>
            </w:r>
          </w:p>
        </w:tc>
      </w:tr>
      <w:tr w14:paraId="23067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9" w:type="dxa"/>
          <w:trHeight w:val="1978" w:hRule="atLeast"/>
        </w:trPr>
        <w:tc>
          <w:tcPr>
            <w:tcW w:w="1822" w:type="dxa"/>
            <w:gridSpan w:val="2"/>
            <w:vAlign w:val="center"/>
          </w:tcPr>
          <w:p w14:paraId="62E7FD2A">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行业领域</w:t>
            </w:r>
          </w:p>
        </w:tc>
        <w:tc>
          <w:tcPr>
            <w:tcW w:w="6617" w:type="dxa"/>
            <w:gridSpan w:val="2"/>
            <w:vAlign w:val="center"/>
          </w:tcPr>
          <w:p w14:paraId="4E0E7982">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汽车物流行业、人工智能技术应用</w:t>
            </w:r>
          </w:p>
        </w:tc>
      </w:tr>
      <w:tr w14:paraId="71AB29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9" w:type="dxa"/>
          <w:trHeight w:val="7617" w:hRule="atLeast"/>
        </w:trPr>
        <w:tc>
          <w:tcPr>
            <w:tcW w:w="1822" w:type="dxa"/>
            <w:gridSpan w:val="2"/>
            <w:vAlign w:val="center"/>
          </w:tcPr>
          <w:p w14:paraId="424D0A35">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题目介绍</w:t>
            </w:r>
          </w:p>
        </w:tc>
        <w:tc>
          <w:tcPr>
            <w:tcW w:w="6617" w:type="dxa"/>
            <w:gridSpan w:val="2"/>
            <w:vAlign w:val="center"/>
          </w:tcPr>
          <w:p w14:paraId="05EEDB89">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选题背景：</w:t>
            </w:r>
          </w:p>
          <w:p w14:paraId="1F496956">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在整车物流运输中，装载环节的合规性直接影响运输安全与质量。当前依赖人工拍照、事后人工审核的方式，存在识别标准不统一、漏判误判率高、问题反馈滞后等痛点，难以满足规模化运输的管控需求。</w:t>
            </w:r>
          </w:p>
          <w:p w14:paraId="75B00F03">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选题需求：</w:t>
            </w:r>
          </w:p>
          <w:p w14:paraId="0E676BE4">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需构建开发一个AI智能检测智能体，可与整车物流业务系</w:t>
            </w:r>
          </w:p>
          <w:p w14:paraId="7CEFB9F7">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统集成，自动识别满载照片中商品车的间距不足、前后超框、车门未关等违规作业点，精准定位问题并生成记录，实时推送给现场管理人员处理，实现装载环节的智能、高效、标准化管控。</w:t>
            </w:r>
          </w:p>
          <w:p w14:paraId="1BF98777">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应用目标：</w:t>
            </w:r>
          </w:p>
          <w:p w14:paraId="46AADA08">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该智能体可直接部署于整车物流企业的装载作业场景，与业务系统集成，替代传统人工审核模式，降低人力成本，提升装载合规率与问题处理速度，也可推广至商品车仓储、转运等相关环节，具有较强的落地价值与行业通用性。</w:t>
            </w:r>
          </w:p>
        </w:tc>
      </w:tr>
      <w:tr w14:paraId="19CC30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9" w:type="dxa"/>
          <w:trHeight w:val="7599" w:hRule="atLeast"/>
        </w:trPr>
        <w:tc>
          <w:tcPr>
            <w:tcW w:w="1832" w:type="dxa"/>
            <w:gridSpan w:val="2"/>
            <w:vAlign w:val="center"/>
          </w:tcPr>
          <w:p w14:paraId="774814E7">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作品要求</w:t>
            </w:r>
          </w:p>
        </w:tc>
        <w:tc>
          <w:tcPr>
            <w:tcW w:w="6627" w:type="dxa"/>
            <w:gridSpan w:val="2"/>
            <w:vAlign w:val="center"/>
          </w:tcPr>
          <w:p w14:paraId="3A3880D6">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提报形式：</w:t>
            </w:r>
          </w:p>
          <w:p w14:paraId="1C37A69C">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eastAsia="zh-CN"/>
              </w:rPr>
              <w:t>1.</w:t>
            </w:r>
            <w:r>
              <w:rPr>
                <w:rFonts w:hint="eastAsia" w:ascii="仿宋_GB2312" w:hAnsi="仿宋_GB2312" w:eastAsia="仿宋_GB2312" w:cs="仿宋_GB2312"/>
                <w:bCs/>
                <w:color w:val="000000"/>
                <w:spacing w:val="6"/>
                <w:szCs w:val="28"/>
                <w:lang w:val="en-US"/>
              </w:rPr>
              <w:t>提交完整的技术方案报告，包含算法设计、模型架构、测试验证等核心内容。</w:t>
            </w:r>
          </w:p>
          <w:p w14:paraId="2AD5A404">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eastAsia="zh-CN"/>
              </w:rPr>
              <w:t>2.</w:t>
            </w:r>
            <w:r>
              <w:rPr>
                <w:rFonts w:hint="eastAsia" w:ascii="仿宋_GB2312" w:hAnsi="仿宋_GB2312" w:eastAsia="仿宋_GB2312" w:cs="仿宋_GB2312"/>
                <w:bCs/>
                <w:color w:val="000000"/>
                <w:spacing w:val="6"/>
                <w:szCs w:val="28"/>
                <w:lang w:val="en-US"/>
              </w:rPr>
              <w:t>提供可运行的Demo原型</w:t>
            </w:r>
            <w:r>
              <w:rPr>
                <w:rFonts w:hint="eastAsia" w:ascii="仿宋_GB2312" w:hAnsi="仿宋_GB2312" w:eastAsia="仿宋_GB2312" w:cs="仿宋_GB2312"/>
                <w:bCs/>
                <w:color w:val="000000"/>
                <w:spacing w:val="6"/>
                <w:szCs w:val="28"/>
                <w:lang w:val="en-US" w:eastAsia="zh-CN"/>
              </w:rPr>
              <w:t>（</w:t>
            </w:r>
            <w:r>
              <w:rPr>
                <w:rFonts w:hint="eastAsia" w:ascii="仿宋_GB2312" w:hAnsi="仿宋_GB2312" w:eastAsia="仿宋_GB2312" w:cs="仿宋_GB2312"/>
                <w:bCs/>
                <w:color w:val="000000"/>
                <w:spacing w:val="6"/>
                <w:szCs w:val="28"/>
                <w:lang w:val="en-US"/>
              </w:rPr>
              <w:t>支持本地部署或云端演示</w:t>
            </w:r>
            <w:r>
              <w:rPr>
                <w:rFonts w:hint="eastAsia" w:ascii="仿宋_GB2312" w:hAnsi="仿宋_GB2312" w:eastAsia="仿宋_GB2312" w:cs="仿宋_GB2312"/>
                <w:bCs/>
                <w:color w:val="000000"/>
                <w:spacing w:val="6"/>
                <w:szCs w:val="28"/>
                <w:lang w:val="en-US" w:eastAsia="zh-CN"/>
              </w:rPr>
              <w:t>），</w:t>
            </w:r>
            <w:r>
              <w:rPr>
                <w:rFonts w:hint="eastAsia" w:ascii="仿宋_GB2312" w:hAnsi="仿宋_GB2312" w:eastAsia="仿宋_GB2312" w:cs="仿宋_GB2312"/>
                <w:bCs/>
                <w:color w:val="000000"/>
                <w:spacing w:val="6"/>
                <w:szCs w:val="28"/>
                <w:lang w:val="en-US"/>
              </w:rPr>
              <w:t>并附操作说明视频。</w:t>
            </w:r>
          </w:p>
          <w:p w14:paraId="4A901D27">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eastAsia="zh-CN"/>
              </w:rPr>
              <w:t>3.</w:t>
            </w:r>
            <w:r>
              <w:rPr>
                <w:rFonts w:hint="eastAsia" w:ascii="仿宋_GB2312" w:hAnsi="仿宋_GB2312" w:eastAsia="仿宋_GB2312" w:cs="仿宋_GB2312"/>
                <w:bCs/>
                <w:color w:val="000000"/>
                <w:spacing w:val="6"/>
                <w:szCs w:val="28"/>
                <w:lang w:val="en-US"/>
              </w:rPr>
              <w:t>提交系统测试报告，需包含在模拟装载场景下的识别准确率、响应时间等关键指标。</w:t>
            </w:r>
          </w:p>
          <w:p w14:paraId="286804C5">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时间节点：</w:t>
            </w:r>
          </w:p>
          <w:p w14:paraId="63B5D7D5">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方案及原型提交：2026年4月25日前</w:t>
            </w:r>
          </w:p>
          <w:p w14:paraId="7A2834D3">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内容要求：</w:t>
            </w:r>
          </w:p>
          <w:p w14:paraId="56EB15BE">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eastAsia="zh-CN"/>
              </w:rPr>
              <w:t>1.</w:t>
            </w:r>
            <w:r>
              <w:rPr>
                <w:rFonts w:hint="eastAsia" w:ascii="仿宋_GB2312" w:hAnsi="仿宋_GB2312" w:eastAsia="仿宋_GB2312" w:cs="仿宋_GB2312"/>
                <w:bCs/>
                <w:color w:val="000000"/>
                <w:spacing w:val="6"/>
                <w:szCs w:val="28"/>
                <w:lang w:val="en-US"/>
              </w:rPr>
              <w:t>必须针对间距不足、前后超框、车门未关三类违规场景提供完整的识别方案。</w:t>
            </w:r>
          </w:p>
          <w:p w14:paraId="77A75549">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eastAsia="zh-CN"/>
              </w:rPr>
              <w:t>2.</w:t>
            </w:r>
            <w:r>
              <w:rPr>
                <w:rFonts w:hint="eastAsia" w:ascii="仿宋_GB2312" w:hAnsi="仿宋_GB2312" w:eastAsia="仿宋_GB2312" w:cs="仿宋_GB2312"/>
                <w:bCs/>
                <w:color w:val="000000"/>
                <w:spacing w:val="6"/>
                <w:szCs w:val="28"/>
                <w:lang w:val="en-US"/>
              </w:rPr>
              <w:t>需明确标注模型在真实装载照片数据集上的准确率≥90%、单图处理时间≤2秒的性能指标</w:t>
            </w:r>
          </w:p>
          <w:p w14:paraId="34B283A1">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eastAsia="zh-CN"/>
              </w:rPr>
              <w:t>3.</w:t>
            </w:r>
            <w:r>
              <w:rPr>
                <w:rFonts w:hint="eastAsia" w:ascii="仿宋_GB2312" w:hAnsi="仿宋_GB2312" w:eastAsia="仿宋_GB2312" w:cs="仿宋_GB2312"/>
                <w:bCs/>
                <w:color w:val="000000"/>
                <w:spacing w:val="6"/>
                <w:szCs w:val="28"/>
                <w:lang w:val="en-US"/>
              </w:rPr>
              <w:t>需包含问题自动记录与推送功能的流程设计，确保与现有物流管理系统的可衔接性。</w:t>
            </w:r>
          </w:p>
        </w:tc>
      </w:tr>
      <w:tr w14:paraId="2AD5CB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wBefore w:w="9" w:type="dxa"/>
          <w:trHeight w:val="5740" w:hRule="atLeast"/>
        </w:trPr>
        <w:tc>
          <w:tcPr>
            <w:tcW w:w="1832" w:type="dxa"/>
            <w:gridSpan w:val="2"/>
            <w:vAlign w:val="center"/>
          </w:tcPr>
          <w:p w14:paraId="7154DC2C">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作品评审</w:t>
            </w:r>
          </w:p>
          <w:p w14:paraId="6AFF766F">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标准</w:t>
            </w:r>
          </w:p>
        </w:tc>
        <w:tc>
          <w:tcPr>
            <w:tcW w:w="6627" w:type="dxa"/>
            <w:gridSpan w:val="2"/>
            <w:vAlign w:val="center"/>
          </w:tcPr>
          <w:p w14:paraId="3D7BB2DF">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技术创新性：</w:t>
            </w:r>
          </w:p>
          <w:p w14:paraId="20FE7B46">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优：采用轻量化算法或小样本学习方案，适配复杂光线/角度场景；</w:t>
            </w:r>
          </w:p>
          <w:p w14:paraId="2466D6A1">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劣：仅使用通用开源模型，未针对装载场景做优化。</w:t>
            </w:r>
          </w:p>
          <w:p w14:paraId="5D79229A">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落地可行性：</w:t>
            </w:r>
          </w:p>
          <w:p w14:paraId="606966A7">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优：提供清晰的部署方案、硬件成本测算及企业适配路径；劣：仅停留在算法理论，无实际落地规划</w:t>
            </w:r>
          </w:p>
          <w:p w14:paraId="700CBF1E">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识别准确率：</w:t>
            </w:r>
          </w:p>
          <w:p w14:paraId="237D8F27">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优：四类违规场景综合准确率≥90%</w:t>
            </w:r>
            <w:r>
              <w:rPr>
                <w:rFonts w:hint="eastAsia" w:ascii="仿宋_GB2312" w:hAnsi="仿宋_GB2312" w:eastAsia="仿宋_GB2312" w:cs="仿宋_GB2312"/>
                <w:bCs/>
                <w:color w:val="000000"/>
                <w:spacing w:val="6"/>
                <w:szCs w:val="28"/>
                <w:lang w:val="en-US" w:eastAsia="zh-CN"/>
              </w:rPr>
              <w:t>，</w:t>
            </w:r>
            <w:r>
              <w:rPr>
                <w:rFonts w:hint="eastAsia" w:ascii="仿宋_GB2312" w:hAnsi="仿宋_GB2312" w:eastAsia="仿宋_GB2312" w:cs="仿宋_GB2312"/>
                <w:bCs/>
                <w:color w:val="000000"/>
                <w:spacing w:val="6"/>
                <w:szCs w:val="28"/>
                <w:lang w:val="en-US"/>
              </w:rPr>
              <w:t>漏判率≤5%;</w:t>
            </w:r>
          </w:p>
          <w:p w14:paraId="54572039">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劣：准确率&lt;80%</w:t>
            </w:r>
            <w:r>
              <w:rPr>
                <w:rFonts w:hint="eastAsia" w:ascii="仿宋_GB2312" w:hAnsi="仿宋_GB2312" w:eastAsia="仿宋_GB2312" w:cs="仿宋_GB2312"/>
                <w:bCs/>
                <w:color w:val="000000"/>
                <w:spacing w:val="6"/>
                <w:szCs w:val="28"/>
                <w:lang w:val="en-US" w:eastAsia="zh-CN"/>
              </w:rPr>
              <w:t>，</w:t>
            </w:r>
            <w:r>
              <w:rPr>
                <w:rFonts w:hint="eastAsia" w:ascii="仿宋_GB2312" w:hAnsi="仿宋_GB2312" w:eastAsia="仿宋_GB2312" w:cs="仿宋_GB2312"/>
                <w:bCs/>
                <w:color w:val="000000"/>
                <w:spacing w:val="6"/>
                <w:szCs w:val="28"/>
                <w:lang w:val="en-US"/>
              </w:rPr>
              <w:t>或单一场景识别失效。</w:t>
            </w:r>
          </w:p>
          <w:p w14:paraId="5E27C111">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功能完整性：</w:t>
            </w:r>
          </w:p>
          <w:p w14:paraId="2A6259E5">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优：包含违规定位、自动记录、消息推送全流程功能：</w:t>
            </w:r>
          </w:p>
          <w:p w14:paraId="6AC132C0">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劣：仅实现基础识别，无后续处理链路</w:t>
            </w:r>
          </w:p>
        </w:tc>
      </w:tr>
    </w:tbl>
    <w:p w14:paraId="7C4C94CC">
      <w:pPr>
        <w:sectPr>
          <w:footerReference r:id="rId6" w:type="default"/>
          <w:pgSz w:w="11906" w:h="16838"/>
          <w:pgMar w:top="1440" w:right="1800" w:bottom="1440" w:left="1800" w:header="0" w:footer="1101" w:gutter="0"/>
          <w:cols w:space="720" w:num="1"/>
        </w:sectPr>
      </w:pPr>
    </w:p>
    <w:tbl>
      <w:tblPr>
        <w:tblStyle w:val="27"/>
        <w:tblW w:w="8440" w:type="dxa"/>
        <w:tblInd w:w="3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03"/>
        <w:gridCol w:w="6637"/>
      </w:tblGrid>
      <w:tr w14:paraId="3C8BF8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90" w:hRule="atLeast"/>
        </w:trPr>
        <w:tc>
          <w:tcPr>
            <w:tcW w:w="1803" w:type="dxa"/>
            <w:vAlign w:val="center"/>
          </w:tcPr>
          <w:p w14:paraId="6008A961">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其他</w:t>
            </w:r>
          </w:p>
        </w:tc>
        <w:tc>
          <w:tcPr>
            <w:tcW w:w="6637" w:type="dxa"/>
            <w:vAlign w:val="center"/>
          </w:tcPr>
          <w:p w14:paraId="5E6AEE0B">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数据准备：优先使用真实物流场景照片构建数据集，避免仅依赖合成数据导致泛化能力不足</w:t>
            </w:r>
          </w:p>
          <w:p w14:paraId="7FA79CF9">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场景适配：重点优化对夜间、雨天、不同车型的识别鲁棒性，提升方案的实际业务价值</w:t>
            </w:r>
          </w:p>
        </w:tc>
      </w:tr>
    </w:tbl>
    <w:p w14:paraId="3A37EEA6">
      <w:pPr>
        <w:tabs>
          <w:tab w:val="left" w:pos="8640"/>
        </w:tabs>
        <w:adjustRightInd w:val="0"/>
        <w:snapToGrid w:val="0"/>
        <w:spacing w:line="440" w:lineRule="exact"/>
        <w:rPr>
          <w:rFonts w:hint="eastAsia" w:ascii="方正黑体简体" w:hAnsi="Times New Roman" w:eastAsia="方正黑体简体" w:cs="Times New Roman"/>
          <w:bCs/>
          <w:spacing w:val="6"/>
          <w:sz w:val="32"/>
          <w:szCs w:val="32"/>
        </w:rPr>
      </w:pPr>
      <w:r>
        <w:rPr>
          <w:rFonts w:hint="eastAsia" w:ascii="方正黑体简体" w:hAnsi="Times New Roman" w:eastAsia="方正黑体简体" w:cs="Times New Roman"/>
          <w:bCs/>
          <w:spacing w:val="6"/>
          <w:sz w:val="32"/>
          <w:szCs w:val="32"/>
        </w:rPr>
        <w:t>三、激励保障</w:t>
      </w:r>
    </w:p>
    <w:tbl>
      <w:tblPr>
        <w:tblStyle w:val="27"/>
        <w:tblW w:w="8488" w:type="dxa"/>
        <w:tblInd w:w="2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13"/>
        <w:gridCol w:w="6675"/>
      </w:tblGrid>
      <w:tr w14:paraId="16924C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813" w:type="dxa"/>
            <w:vAlign w:val="center"/>
          </w:tcPr>
          <w:p w14:paraId="6B253702">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保障措施</w:t>
            </w:r>
          </w:p>
        </w:tc>
        <w:tc>
          <w:tcPr>
            <w:tcW w:w="6675" w:type="dxa"/>
            <w:vAlign w:val="center"/>
          </w:tcPr>
          <w:p w14:paraId="4FD6916E">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eastAsia="zh-CN"/>
              </w:rPr>
              <w:t>1.</w:t>
            </w:r>
            <w:r>
              <w:rPr>
                <w:rFonts w:hint="eastAsia" w:ascii="仿宋_GB2312" w:hAnsi="仿宋_GB2312" w:eastAsia="仿宋_GB2312" w:cs="仿宋_GB2312"/>
                <w:bCs/>
                <w:color w:val="000000"/>
                <w:spacing w:val="6"/>
                <w:szCs w:val="28"/>
                <w:lang w:val="en-US"/>
              </w:rPr>
              <w:t>实践调研：在团队报名后10个工作日内，安排参赛团队赴整车物流装载作业现场进行实地参观，深度了解真实业务场景、装载标准及现存痛点</w:t>
            </w:r>
          </w:p>
          <w:p w14:paraId="5FBEE644">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eastAsia="zh-CN"/>
              </w:rPr>
              <w:t>2.</w:t>
            </w:r>
            <w:r>
              <w:rPr>
                <w:rFonts w:hint="eastAsia" w:ascii="仿宋_GB2312" w:hAnsi="仿宋_GB2312" w:eastAsia="仿宋_GB2312" w:cs="仿宋_GB2312"/>
                <w:bCs/>
                <w:color w:val="000000"/>
                <w:spacing w:val="6"/>
                <w:szCs w:val="28"/>
                <w:lang w:val="en-US"/>
              </w:rPr>
              <w:t>数据资料：在方案启动阶段，提供包含1000+张真实装载场景照片的标注数据集，以及典型违规案例分析，为模型训练提供基础支撑。</w:t>
            </w:r>
          </w:p>
          <w:p w14:paraId="05945644">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eastAsia="zh-CN"/>
              </w:rPr>
              <w:t>3.</w:t>
            </w:r>
            <w:r>
              <w:rPr>
                <w:rFonts w:hint="eastAsia" w:ascii="仿宋_GB2312" w:hAnsi="仿宋_GB2312" w:eastAsia="仿宋_GB2312" w:cs="仿宋_GB2312"/>
                <w:bCs/>
                <w:color w:val="000000"/>
                <w:spacing w:val="6"/>
                <w:szCs w:val="28"/>
                <w:lang w:val="en-US"/>
              </w:rPr>
              <w:t>专人对接：配备1名整车物流业务专家作为专属指导，自团队确认入选之日起，提供每周1次的线上答疑及月度线下技术交流。</w:t>
            </w:r>
          </w:p>
          <w:p w14:paraId="459BD9B0">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所有支持措施均由我方专项项目组负责推进，明确时间节点与责任人，确保资源按时到位。团队若需额外支持，可随时通过专属对接渠道提出需求，我方将在3个工作日内响应并协调资源。</w:t>
            </w:r>
          </w:p>
        </w:tc>
      </w:tr>
      <w:tr w14:paraId="5F1244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813" w:type="dxa"/>
            <w:vAlign w:val="center"/>
          </w:tcPr>
          <w:p w14:paraId="008D6ABE">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奖项设置和奖</w:t>
            </w:r>
          </w:p>
          <w:p w14:paraId="45F1020E">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励措施</w:t>
            </w:r>
          </w:p>
        </w:tc>
        <w:tc>
          <w:tcPr>
            <w:tcW w:w="6675" w:type="dxa"/>
            <w:vAlign w:val="center"/>
          </w:tcPr>
          <w:p w14:paraId="7DAAF132">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一、奖项设置</w:t>
            </w:r>
          </w:p>
          <w:p w14:paraId="3DDFCF40">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eastAsia="zh-CN"/>
              </w:rPr>
              <w:t>原则上设“擂主”团队1个，</w:t>
            </w:r>
            <w:r>
              <w:rPr>
                <w:rFonts w:hint="eastAsia" w:ascii="仿宋_GB2312" w:hAnsi="仿宋_GB2312" w:eastAsia="仿宋_GB2312" w:cs="仿宋_GB2312"/>
                <w:bCs/>
                <w:color w:val="000000"/>
                <w:spacing w:val="6"/>
                <w:szCs w:val="28"/>
                <w:lang w:val="en-US"/>
              </w:rPr>
              <w:t>根据实际情况评出相应的特等奖、一等奖、二等奖、三等奖项目若干。</w:t>
            </w:r>
          </w:p>
          <w:p w14:paraId="7FC0BB0D">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擂主团队将作为后期创业实践合作主体</w:t>
            </w:r>
          </w:p>
          <w:p w14:paraId="37553C1D">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二、激励措施</w:t>
            </w:r>
          </w:p>
          <w:p w14:paraId="48FB6DC8">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擂主团队：直接签约进入创业实践阶段，提供项目支持及办公场地，核心成员可获得中都数科正式录用资格</w:t>
            </w:r>
          </w:p>
          <w:p w14:paraId="1B99693D">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特等奖、一等奖团队：提供中都数科实习绿色通道，表现优异者可优先获得校招offer.</w:t>
            </w:r>
          </w:p>
          <w:p w14:paraId="74A17FDD">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三等奖团队：提供中都数科实习、实践机会</w:t>
            </w:r>
          </w:p>
        </w:tc>
      </w:tr>
    </w:tbl>
    <w:p w14:paraId="34DA5EA1">
      <w:pPr>
        <w:pStyle w:val="4"/>
      </w:pPr>
    </w:p>
    <w:p w14:paraId="37F560F4">
      <w:pPr>
        <w:spacing w:before="104" w:line="220" w:lineRule="auto"/>
        <w:ind w:left="89"/>
        <w:outlineLvl w:val="1"/>
        <w:rPr>
          <w:rFonts w:hint="eastAsia" w:ascii="黑体" w:hAnsi="黑体" w:eastAsia="黑体" w:cs="黑体"/>
          <w:sz w:val="32"/>
          <w:szCs w:val="32"/>
        </w:rPr>
      </w:pPr>
      <w:r>
        <w:rPr>
          <w:rFonts w:hint="eastAsia" w:ascii="黑体" w:hAnsi="黑体" w:eastAsia="黑体" w:cs="黑体"/>
          <w:b/>
          <w:bCs/>
          <w:spacing w:val="-3"/>
          <w:sz w:val="32"/>
          <w:szCs w:val="32"/>
        </w:rPr>
        <w:t>四、选题意义</w:t>
      </w:r>
    </w:p>
    <w:p w14:paraId="263073A0">
      <w:pPr>
        <w:spacing w:line="42" w:lineRule="auto"/>
        <w:rPr>
          <w:rFonts w:ascii="Arial"/>
          <w:sz w:val="2"/>
        </w:rPr>
      </w:pPr>
    </w:p>
    <w:tbl>
      <w:tblPr>
        <w:tblStyle w:val="27"/>
        <w:tblW w:w="8330" w:type="dxa"/>
        <w:tblInd w:w="2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63"/>
        <w:gridCol w:w="6567"/>
      </w:tblGrid>
      <w:tr w14:paraId="592F75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0" w:hRule="atLeast"/>
        </w:trPr>
        <w:tc>
          <w:tcPr>
            <w:tcW w:w="1763" w:type="dxa"/>
            <w:vAlign w:val="center"/>
          </w:tcPr>
          <w:p w14:paraId="7E422B88">
            <w:pPr>
              <w:pStyle w:val="28"/>
              <w:spacing w:before="81" w:line="219" w:lineRule="auto"/>
              <w:jc w:val="center"/>
              <w:rPr>
                <w:rFonts w:hint="eastAsia" w:ascii="楷体_GB2312" w:hAnsi="楷体_GB2312" w:eastAsia="楷体_GB2312" w:cs="楷体_GB2312"/>
                <w:sz w:val="28"/>
                <w:szCs w:val="28"/>
              </w:rPr>
            </w:pPr>
            <w:r>
              <w:rPr>
                <w:rFonts w:hint="eastAsia" w:ascii="楷体_GB2312" w:hAnsi="楷体_GB2312" w:eastAsia="楷体_GB2312" w:cs="楷体_GB2312"/>
                <w:spacing w:val="3"/>
                <w:sz w:val="28"/>
                <w:szCs w:val="28"/>
              </w:rPr>
              <w:t>技术意义</w:t>
            </w:r>
          </w:p>
        </w:tc>
        <w:tc>
          <w:tcPr>
            <w:tcW w:w="6567" w:type="dxa"/>
            <w:vAlign w:val="top"/>
          </w:tcPr>
          <w:p w14:paraId="3F7C3362">
            <w:pPr>
              <w:pStyle w:val="28"/>
              <w:keepNext w:val="0"/>
              <w:keepLines w:val="0"/>
              <w:pageBreakBefore w:val="0"/>
              <w:widowControl/>
              <w:kinsoku w:val="0"/>
              <w:wordWrap/>
              <w:overflowPunct/>
              <w:topLinePunct w:val="0"/>
              <w:autoSpaceDE w:val="0"/>
              <w:autoSpaceDN w:val="0"/>
              <w:bidi w:val="0"/>
              <w:adjustRightInd w:val="0"/>
              <w:snapToGrid w:val="0"/>
              <w:spacing w:before="64" w:line="240" w:lineRule="auto"/>
              <w:ind w:left="31" w:firstLine="509"/>
              <w:jc w:val="both"/>
              <w:textAlignment w:val="baseline"/>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本选题旨在攻克复杂物流场景下的计算机视觉精准识别</w:t>
            </w:r>
            <w:r>
              <w:rPr>
                <w:rFonts w:hint="eastAsia" w:ascii="仿宋_GB2312" w:hAnsi="仿宋_GB2312" w:eastAsia="仿宋_GB2312" w:cs="仿宋_GB2312"/>
                <w:spacing w:val="14"/>
                <w:sz w:val="24"/>
                <w:szCs w:val="24"/>
              </w:rPr>
              <w:t xml:space="preserve"> </w:t>
            </w:r>
            <w:r>
              <w:rPr>
                <w:rFonts w:hint="eastAsia" w:ascii="仿宋_GB2312" w:hAnsi="仿宋_GB2312" w:eastAsia="仿宋_GB2312" w:cs="仿宋_GB2312"/>
                <w:sz w:val="24"/>
                <w:szCs w:val="24"/>
              </w:rPr>
              <w:t>这一关键技术难题。针对传统人工审核效率低、标准难统一</w:t>
            </w:r>
            <w:r>
              <w:rPr>
                <w:rFonts w:hint="eastAsia" w:ascii="仿宋_GB2312" w:hAnsi="仿宋_GB2312" w:eastAsia="仿宋_GB2312" w:cs="仿宋_GB2312"/>
                <w:spacing w:val="6"/>
                <w:sz w:val="24"/>
                <w:szCs w:val="24"/>
              </w:rPr>
              <w:t xml:space="preserve"> </w:t>
            </w:r>
            <w:r>
              <w:rPr>
                <w:rFonts w:hint="eastAsia" w:ascii="仿宋_GB2312" w:hAnsi="仿宋_GB2312" w:eastAsia="仿宋_GB2312" w:cs="仿宋_GB2312"/>
                <w:spacing w:val="1"/>
                <w:sz w:val="24"/>
                <w:szCs w:val="24"/>
              </w:rPr>
              <w:t>的行业痛点，利用</w:t>
            </w:r>
            <w:r>
              <w:rPr>
                <w:rFonts w:hint="eastAsia" w:ascii="仿宋_GB2312" w:hAnsi="仿宋_GB2312" w:eastAsia="仿宋_GB2312" w:cs="仿宋_GB2312"/>
                <w:sz w:val="24"/>
                <w:szCs w:val="24"/>
              </w:rPr>
              <w:t>AI</w:t>
            </w:r>
            <w:r>
              <w:rPr>
                <w:rFonts w:hint="eastAsia" w:ascii="仿宋_GB2312" w:hAnsi="仿宋_GB2312" w:eastAsia="仿宋_GB2312" w:cs="仿宋_GB2312"/>
                <w:spacing w:val="1"/>
                <w:sz w:val="24"/>
                <w:szCs w:val="24"/>
              </w:rPr>
              <w:t>技术突破非结构化图像数据的自动化合</w:t>
            </w:r>
            <w:r>
              <w:rPr>
                <w:rFonts w:hint="eastAsia" w:ascii="仿宋_GB2312" w:hAnsi="仿宋_GB2312" w:eastAsia="仿宋_GB2312" w:cs="仿宋_GB2312"/>
                <w:sz w:val="24"/>
                <w:szCs w:val="24"/>
              </w:rPr>
              <w:t xml:space="preserve"> </w:t>
            </w:r>
            <w:r>
              <w:rPr>
                <w:rFonts w:hint="eastAsia" w:ascii="仿宋_GB2312" w:hAnsi="仿宋_GB2312" w:eastAsia="仿宋_GB2312" w:cs="仿宋_GB2312"/>
                <w:spacing w:val="2"/>
                <w:sz w:val="24"/>
                <w:szCs w:val="24"/>
              </w:rPr>
              <w:t>规检测瓶颈。</w:t>
            </w:r>
          </w:p>
          <w:p w14:paraId="1EE04032">
            <w:pPr>
              <w:pStyle w:val="28"/>
              <w:keepNext w:val="0"/>
              <w:keepLines w:val="0"/>
              <w:pageBreakBefore w:val="0"/>
              <w:widowControl/>
              <w:kinsoku w:val="0"/>
              <w:wordWrap/>
              <w:overflowPunct/>
              <w:topLinePunct w:val="0"/>
              <w:autoSpaceDE w:val="0"/>
              <w:autoSpaceDN w:val="0"/>
              <w:bidi w:val="0"/>
              <w:adjustRightInd w:val="0"/>
              <w:snapToGrid w:val="0"/>
              <w:spacing w:before="1" w:line="240" w:lineRule="auto"/>
              <w:ind w:left="51" w:firstLine="499"/>
              <w:jc w:val="both"/>
              <w:textAlignment w:val="baseline"/>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该项目不仅能解决整车物流装载环节“监管滞后”的产</w:t>
            </w:r>
            <w:r>
              <w:rPr>
                <w:rFonts w:hint="eastAsia" w:ascii="仿宋_GB2312" w:hAnsi="仿宋_GB2312" w:eastAsia="仿宋_GB2312" w:cs="仿宋_GB2312"/>
                <w:spacing w:val="4"/>
                <w:sz w:val="24"/>
                <w:szCs w:val="24"/>
              </w:rPr>
              <w:t xml:space="preserve"> </w:t>
            </w:r>
            <w:r>
              <w:rPr>
                <w:rFonts w:hint="eastAsia" w:ascii="仿宋_GB2312" w:hAnsi="仿宋_GB2312" w:eastAsia="仿宋_GB2312" w:cs="仿宋_GB2312"/>
                <w:sz w:val="24"/>
                <w:szCs w:val="24"/>
              </w:rPr>
              <w:t xml:space="preserve">业难题，更能推动物流行业从“人治”向“数治”转型，为 </w:t>
            </w:r>
            <w:r>
              <w:rPr>
                <w:rFonts w:hint="eastAsia" w:ascii="仿宋_GB2312" w:hAnsi="仿宋_GB2312" w:eastAsia="仿宋_GB2312" w:cs="仿宋_GB2312"/>
                <w:spacing w:val="-1"/>
                <w:sz w:val="24"/>
                <w:szCs w:val="24"/>
              </w:rPr>
              <w:t>智慧物流的视觉感知技术提供可落地的解决方案。</w:t>
            </w:r>
          </w:p>
        </w:tc>
      </w:tr>
      <w:tr w14:paraId="2D6D4E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9" w:hRule="atLeast"/>
        </w:trPr>
        <w:tc>
          <w:tcPr>
            <w:tcW w:w="1763" w:type="dxa"/>
            <w:vAlign w:val="center"/>
          </w:tcPr>
          <w:p w14:paraId="3AAD994B">
            <w:pPr>
              <w:pStyle w:val="28"/>
              <w:spacing w:before="82" w:line="219" w:lineRule="auto"/>
              <w:jc w:val="center"/>
              <w:rPr>
                <w:rFonts w:hint="eastAsia" w:ascii="楷体_GB2312" w:hAnsi="楷体_GB2312" w:eastAsia="楷体_GB2312" w:cs="楷体_GB2312"/>
                <w:sz w:val="28"/>
                <w:szCs w:val="28"/>
              </w:rPr>
            </w:pPr>
            <w:r>
              <w:rPr>
                <w:rFonts w:hint="eastAsia" w:ascii="楷体_GB2312" w:hAnsi="楷体_GB2312" w:eastAsia="楷体_GB2312" w:cs="楷体_GB2312"/>
                <w:spacing w:val="1"/>
                <w:sz w:val="28"/>
                <w:szCs w:val="28"/>
              </w:rPr>
              <w:t>经济社会效益</w:t>
            </w:r>
          </w:p>
        </w:tc>
        <w:tc>
          <w:tcPr>
            <w:tcW w:w="6567" w:type="dxa"/>
            <w:vAlign w:val="top"/>
          </w:tcPr>
          <w:p w14:paraId="2637017D">
            <w:pPr>
              <w:pStyle w:val="28"/>
              <w:keepNext w:val="0"/>
              <w:keepLines w:val="0"/>
              <w:pageBreakBefore w:val="0"/>
              <w:widowControl/>
              <w:kinsoku w:val="0"/>
              <w:wordWrap/>
              <w:overflowPunct/>
              <w:topLinePunct w:val="0"/>
              <w:autoSpaceDE w:val="0"/>
              <w:autoSpaceDN w:val="0"/>
              <w:bidi w:val="0"/>
              <w:adjustRightInd w:val="0"/>
              <w:snapToGrid w:val="0"/>
              <w:spacing w:before="77" w:line="240" w:lineRule="auto"/>
              <w:ind w:left="41" w:right="3" w:firstLine="500"/>
              <w:jc w:val="both"/>
              <w:textAlignment w:val="baseline"/>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经济效益：可替代整车物流装载环节人工审核，降低企</w:t>
            </w:r>
            <w:r>
              <w:rPr>
                <w:rFonts w:hint="eastAsia" w:ascii="仿宋_GB2312" w:hAnsi="仿宋_GB2312" w:eastAsia="仿宋_GB2312" w:cs="仿宋_GB2312"/>
                <w:spacing w:val="9"/>
                <w:sz w:val="24"/>
                <w:szCs w:val="24"/>
              </w:rPr>
              <w:t xml:space="preserve"> </w:t>
            </w:r>
            <w:r>
              <w:rPr>
                <w:rFonts w:hint="eastAsia" w:ascii="仿宋_GB2312" w:hAnsi="仿宋_GB2312" w:eastAsia="仿宋_GB2312" w:cs="仿宋_GB2312"/>
                <w:spacing w:val="1"/>
                <w:sz w:val="24"/>
                <w:szCs w:val="24"/>
              </w:rPr>
              <w:t xml:space="preserve">业人力成本30%以上，提升装载合规率与运输效率，减少因  </w:t>
            </w:r>
            <w:r>
              <w:rPr>
                <w:rFonts w:hint="eastAsia" w:ascii="仿宋_GB2312" w:hAnsi="仿宋_GB2312" w:eastAsia="仿宋_GB2312" w:cs="仿宋_GB2312"/>
                <w:sz w:val="24"/>
                <w:szCs w:val="24"/>
              </w:rPr>
              <w:t>违规装载导致的质损，其技术方案可推广至全物流行业，形</w:t>
            </w:r>
            <w:r>
              <w:rPr>
                <w:rFonts w:hint="eastAsia" w:ascii="仿宋_GB2312" w:hAnsi="仿宋_GB2312" w:eastAsia="仿宋_GB2312" w:cs="仿宋_GB2312"/>
                <w:spacing w:val="10"/>
                <w:sz w:val="24"/>
                <w:szCs w:val="24"/>
              </w:rPr>
              <w:t xml:space="preserve"> </w:t>
            </w:r>
            <w:r>
              <w:rPr>
                <w:rFonts w:hint="eastAsia" w:ascii="仿宋_GB2312" w:hAnsi="仿宋_GB2312" w:eastAsia="仿宋_GB2312" w:cs="仿宋_GB2312"/>
                <w:spacing w:val="-1"/>
                <w:sz w:val="24"/>
                <w:szCs w:val="24"/>
              </w:rPr>
              <w:t>成规模化经济价值。</w:t>
            </w:r>
          </w:p>
          <w:p w14:paraId="3B6C4D7D">
            <w:pPr>
              <w:pStyle w:val="28"/>
              <w:keepNext w:val="0"/>
              <w:keepLines w:val="0"/>
              <w:pageBreakBefore w:val="0"/>
              <w:widowControl/>
              <w:kinsoku w:val="0"/>
              <w:wordWrap/>
              <w:overflowPunct/>
              <w:topLinePunct w:val="0"/>
              <w:autoSpaceDE w:val="0"/>
              <w:autoSpaceDN w:val="0"/>
              <w:bidi w:val="0"/>
              <w:adjustRightInd w:val="0"/>
              <w:snapToGrid w:val="0"/>
              <w:spacing w:before="1" w:line="240" w:lineRule="auto"/>
              <w:ind w:left="31" w:right="3" w:firstLine="510"/>
              <w:jc w:val="both"/>
              <w:textAlignment w:val="baseline"/>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社会效益：助力物流行业数字化转型，提升运输安全水</w:t>
            </w:r>
            <w:r>
              <w:rPr>
                <w:rFonts w:hint="eastAsia" w:ascii="仿宋_GB2312" w:hAnsi="仿宋_GB2312" w:eastAsia="仿宋_GB2312" w:cs="仿宋_GB2312"/>
                <w:spacing w:val="10"/>
                <w:sz w:val="24"/>
                <w:szCs w:val="24"/>
              </w:rPr>
              <w:t xml:space="preserve"> </w:t>
            </w:r>
            <w:r>
              <w:rPr>
                <w:rFonts w:hint="eastAsia" w:ascii="仿宋_GB2312" w:hAnsi="仿宋_GB2312" w:eastAsia="仿宋_GB2312" w:cs="仿宋_GB2312"/>
                <w:sz w:val="24"/>
                <w:szCs w:val="24"/>
              </w:rPr>
              <w:t>平，减少道路安全隐患；推动AI技术在传统产业落地应用，</w:t>
            </w:r>
            <w:r>
              <w:rPr>
                <w:rFonts w:hint="eastAsia" w:ascii="仿宋_GB2312" w:hAnsi="仿宋_GB2312" w:eastAsia="仿宋_GB2312" w:cs="仿宋_GB2312"/>
                <w:spacing w:val="3"/>
                <w:sz w:val="24"/>
                <w:szCs w:val="24"/>
              </w:rPr>
              <w:t xml:space="preserve"> </w:t>
            </w:r>
            <w:r>
              <w:rPr>
                <w:rFonts w:hint="eastAsia" w:ascii="仿宋_GB2312" w:hAnsi="仿宋_GB2312" w:eastAsia="仿宋_GB2312" w:cs="仿宋_GB2312"/>
                <w:spacing w:val="-1"/>
                <w:sz w:val="24"/>
                <w:szCs w:val="24"/>
              </w:rPr>
              <w:t>深化产教融合，培养复合型技术人才，为智慧物流发展提供</w:t>
            </w:r>
            <w:r>
              <w:rPr>
                <w:rFonts w:hint="eastAsia" w:ascii="仿宋_GB2312" w:hAnsi="仿宋_GB2312" w:eastAsia="仿宋_GB2312" w:cs="仿宋_GB2312"/>
                <w:spacing w:val="15"/>
                <w:sz w:val="24"/>
                <w:szCs w:val="24"/>
              </w:rPr>
              <w:t xml:space="preserve"> </w:t>
            </w:r>
            <w:r>
              <w:rPr>
                <w:rFonts w:hint="eastAsia" w:ascii="仿宋_GB2312" w:hAnsi="仿宋_GB2312" w:eastAsia="仿宋_GB2312" w:cs="仿宋_GB2312"/>
                <w:spacing w:val="1"/>
                <w:sz w:val="24"/>
                <w:szCs w:val="24"/>
              </w:rPr>
              <w:t>支撑。</w:t>
            </w:r>
          </w:p>
        </w:tc>
      </w:tr>
    </w:tbl>
    <w:p w14:paraId="433D6334">
      <w:pPr>
        <w:sectPr>
          <w:footerReference r:id="rId7" w:type="default"/>
          <w:pgSz w:w="12190" w:h="17040"/>
          <w:pgMar w:top="1440" w:right="1800" w:bottom="1440" w:left="1800" w:header="0" w:footer="1151" w:gutter="0"/>
          <w:cols w:space="720" w:num="1"/>
        </w:sectPr>
      </w:pPr>
    </w:p>
    <w:p w14:paraId="6190FC43">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“青智未来”新质生产力</w:t>
      </w:r>
      <w:r>
        <w:rPr>
          <w:rFonts w:hint="default" w:ascii="Times New Roman" w:hAnsi="Times New Roman" w:eastAsia="方正小标宋简体" w:cs="Times New Roman"/>
          <w:b w:val="0"/>
          <w:bCs/>
          <w:kern w:val="2"/>
          <w:sz w:val="44"/>
          <w:szCs w:val="32"/>
          <w:highlight w:val="none"/>
          <w:lang w:val="en-US" w:eastAsia="zh-CN"/>
        </w:rPr>
        <w:t>专项赛</w:t>
      </w:r>
    </w:p>
    <w:p w14:paraId="3BBA26E5">
      <w:pPr>
        <w:keepNext w:val="0"/>
        <w:keepLines w:val="0"/>
        <w:pageBreakBefore w:val="0"/>
        <w:widowControl w:val="0"/>
        <w:tabs>
          <w:tab w:val="left" w:pos="8640"/>
        </w:tabs>
        <w:kinsoku/>
        <w:wordWrap w:val="0"/>
        <w:topLinePunct w:val="0"/>
        <w:autoSpaceDE/>
        <w:autoSpaceDN/>
        <w:bidi w:val="0"/>
        <w:adjustRightInd w:val="0"/>
        <w:snapToGrid w:val="0"/>
        <w:spacing w:line="560" w:lineRule="exact"/>
        <w:jc w:val="center"/>
        <w:rPr>
          <w:rFonts w:hint="default" w:ascii="Times New Roman" w:hAnsi="Times New Roman" w:eastAsia="方正小标宋简体" w:cs="Times New Roman"/>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—1</w:t>
      </w:r>
      <w:r>
        <w:rPr>
          <w:rFonts w:hint="eastAsia" w:eastAsia="方正小标宋简体" w:cs="方正小标宋简体"/>
          <w:b w:val="0"/>
          <w:bCs/>
          <w:kern w:val="2"/>
          <w:sz w:val="44"/>
          <w:szCs w:val="32"/>
          <w:highlight w:val="none"/>
          <w:lang w:val="en-US" w:eastAsia="zh-CN"/>
        </w:rPr>
        <w:t>6</w:t>
      </w:r>
    </w:p>
    <w:p w14:paraId="7FE9FA01">
      <w:pPr>
        <w:keepNext w:val="0"/>
        <w:keepLines w:val="0"/>
        <w:pageBreakBefore w:val="0"/>
        <w:widowControl w:val="0"/>
        <w:tabs>
          <w:tab w:val="left" w:pos="8640"/>
        </w:tabs>
        <w:kinsoku/>
        <w:wordWrap w:val="0"/>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b w:val="0"/>
          <w:bCs/>
          <w:kern w:val="2"/>
          <w:sz w:val="32"/>
          <w:szCs w:val="22"/>
          <w:highlight w:val="none"/>
          <w:lang w:val="en-US" w:eastAsia="zh-CN"/>
        </w:rPr>
      </w:pPr>
    </w:p>
    <w:p w14:paraId="6C9FAE05">
      <w:pPr>
        <w:tabs>
          <w:tab w:val="left" w:pos="8640"/>
        </w:tabs>
        <w:adjustRightInd w:val="0"/>
        <w:snapToGrid w:val="0"/>
        <w:spacing w:line="560" w:lineRule="exact"/>
        <w:rPr>
          <w:rFonts w:ascii="方正楷体简体" w:hAnsi="方正楷体简体" w:eastAsia="方正楷体简体" w:cs="方正楷体简体"/>
          <w:bCs/>
          <w:spacing w:val="6"/>
        </w:rPr>
      </w:pPr>
      <w:r>
        <w:rPr>
          <w:rFonts w:hint="eastAsia" w:ascii="方正黑体简体" w:eastAsia="方正黑体简体"/>
          <w:bCs/>
          <w:spacing w:val="6"/>
          <w:sz w:val="32"/>
          <w:szCs w:val="32"/>
        </w:rPr>
        <w:t>一、单位信息</w:t>
      </w:r>
    </w:p>
    <w:tbl>
      <w:tblPr>
        <w:tblStyle w:val="11"/>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4A042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679149E4">
            <w:pPr>
              <w:adjustRightInd w:val="0"/>
              <w:spacing w:line="560" w:lineRule="exact"/>
              <w:jc w:val="center"/>
              <w:rPr>
                <w:rFonts w:ascii="楷体_GB2312" w:hAnsi="楷体_GB2312" w:eastAsia="楷体_GB2312" w:cs="楷体_GB2312"/>
                <w:sz w:val="28"/>
                <w:szCs w:val="32"/>
              </w:rPr>
            </w:pPr>
            <w:r>
              <w:rPr>
                <w:rFonts w:hint="eastAsia" w:ascii="楷体_GB2312" w:hAnsi="楷体_GB2312" w:eastAsia="楷体_GB2312" w:cs="楷体_GB2312"/>
                <w:sz w:val="28"/>
                <w:szCs w:val="32"/>
              </w:rPr>
              <w:t>单位名称</w:t>
            </w:r>
          </w:p>
        </w:tc>
        <w:tc>
          <w:tcPr>
            <w:tcW w:w="6932" w:type="dxa"/>
            <w:gridSpan w:val="3"/>
            <w:vAlign w:val="center"/>
          </w:tcPr>
          <w:p w14:paraId="4EFD622C">
            <w:pPr>
              <w:adjustRightInd w:val="0"/>
              <w:snapToGrid w:val="0"/>
              <w:jc w:val="center"/>
              <w:rPr>
                <w:rFonts w:ascii="仿宋_GB2312" w:hAnsi="仿宋_GB2312" w:eastAsia="仿宋_GB2312" w:cs="仿宋_GB2312"/>
              </w:rPr>
            </w:pPr>
            <w:r>
              <w:rPr>
                <w:rFonts w:ascii="仿宋_GB2312" w:hAnsi="仿宋_GB2312" w:eastAsia="仿宋_GB2312" w:cs="仿宋_GB2312"/>
                <w:bCs/>
                <w:color w:val="000000"/>
                <w:spacing w:val="6"/>
                <w:szCs w:val="28"/>
              </w:rPr>
              <w:t>中讯邮电咨询设计院有限公司</w:t>
            </w:r>
          </w:p>
        </w:tc>
      </w:tr>
      <w:tr w14:paraId="61D23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55FC0BE4">
            <w:pPr>
              <w:adjustRightInd w:val="0"/>
              <w:snapToGrid w:val="0"/>
              <w:jc w:val="center"/>
              <w:rPr>
                <w:rFonts w:ascii="楷体_GB2312" w:hAnsi="楷体_GB2312" w:eastAsia="楷体_GB2312" w:cs="楷体_GB2312"/>
                <w:bCs/>
                <w:spacing w:val="6"/>
                <w:szCs w:val="28"/>
                <w:lang w:val="en-US"/>
              </w:rPr>
            </w:pPr>
            <w:r>
              <w:rPr>
                <w:rFonts w:hint="eastAsia" w:ascii="楷体_GB2312" w:hAnsi="楷体_GB2312" w:eastAsia="楷体_GB2312" w:cs="楷体_GB2312"/>
                <w:sz w:val="28"/>
                <w:szCs w:val="32"/>
                <w:lang w:val="en-US"/>
              </w:rPr>
              <w:t>单位类型</w:t>
            </w:r>
          </w:p>
        </w:tc>
        <w:tc>
          <w:tcPr>
            <w:tcW w:w="6932" w:type="dxa"/>
            <w:gridSpan w:val="3"/>
            <w:vAlign w:val="center"/>
          </w:tcPr>
          <w:p w14:paraId="2EA823C0">
            <w:pPr>
              <w:adjustRightInd w:val="0"/>
              <w:snapToGrid w:val="0"/>
              <w:jc w:val="center"/>
              <w:rPr>
                <w:rFonts w:ascii="仿宋_GB2312" w:hAnsi="仿宋_GB2312" w:eastAsia="仿宋_GB2312" w:cs="仿宋_GB2312"/>
                <w:bCs/>
                <w:spacing w:val="6"/>
                <w:szCs w:val="28"/>
                <w:lang w:val="en-US"/>
              </w:rPr>
            </w:pPr>
            <w:r>
              <w:rPr>
                <w:rFonts w:hint="eastAsia" w:ascii="仿宋_GB2312" w:hAnsi="仿宋_GB2312" w:eastAsia="仿宋_GB2312" w:cs="仿宋_GB2312"/>
                <w:bCs/>
                <w:spacing w:val="6"/>
                <w:szCs w:val="28"/>
                <w:lang w:val="en-US"/>
              </w:rPr>
              <w:t>国有企业</w:t>
            </w:r>
          </w:p>
        </w:tc>
      </w:tr>
      <w:tr w14:paraId="7C720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1FEC0D29">
            <w:pPr>
              <w:adjustRightInd w:val="0"/>
              <w:spacing w:line="560" w:lineRule="exact"/>
              <w:jc w:val="center"/>
              <w:rPr>
                <w:rFonts w:ascii="楷体_GB2312" w:hAnsi="楷体_GB2312" w:eastAsia="楷体_GB2312" w:cs="楷体_GB2312"/>
                <w:sz w:val="28"/>
                <w:szCs w:val="32"/>
              </w:rPr>
            </w:pPr>
            <w:r>
              <w:rPr>
                <w:rFonts w:hint="eastAsia" w:ascii="楷体_GB2312" w:hAnsi="楷体_GB2312" w:eastAsia="楷体_GB2312" w:cs="楷体_GB2312"/>
                <w:sz w:val="28"/>
                <w:szCs w:val="32"/>
              </w:rPr>
              <w:t>地址</w:t>
            </w:r>
          </w:p>
        </w:tc>
        <w:tc>
          <w:tcPr>
            <w:tcW w:w="6932" w:type="dxa"/>
            <w:gridSpan w:val="3"/>
            <w:vAlign w:val="center"/>
          </w:tcPr>
          <w:p w14:paraId="2CDA0234">
            <w:pPr>
              <w:adjustRightInd w:val="0"/>
              <w:jc w:val="center"/>
              <w:rPr>
                <w:rFonts w:ascii="仿宋_GB2312" w:hAnsi="仿宋_GB2312" w:eastAsia="仿宋_GB2312" w:cs="仿宋_GB2312"/>
              </w:rPr>
            </w:pPr>
            <w:r>
              <w:rPr>
                <w:rFonts w:hint="eastAsia" w:ascii="仿宋_GB2312" w:hAnsi="仿宋_GB2312" w:eastAsia="仿宋_GB2312" w:cs="仿宋_GB2312"/>
              </w:rPr>
              <w:t>北京市海淀区首体南路9号3#楼101</w:t>
            </w:r>
          </w:p>
        </w:tc>
      </w:tr>
      <w:tr w14:paraId="01BA1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0B83EB58">
            <w:pPr>
              <w:adjustRightInd w:val="0"/>
              <w:spacing w:line="560" w:lineRule="exact"/>
              <w:jc w:val="center"/>
              <w:rPr>
                <w:rFonts w:ascii="楷体_GB2312" w:hAnsi="楷体_GB2312" w:eastAsia="楷体_GB2312" w:cs="楷体_GB2312"/>
                <w:sz w:val="28"/>
                <w:szCs w:val="32"/>
              </w:rPr>
            </w:pPr>
            <w:r>
              <w:rPr>
                <w:rFonts w:hint="eastAsia" w:ascii="楷体_GB2312" w:hAnsi="楷体_GB2312" w:eastAsia="楷体_GB2312" w:cs="楷体_GB2312"/>
                <w:sz w:val="28"/>
                <w:szCs w:val="32"/>
                <w:lang w:val="en-US"/>
              </w:rPr>
              <w:t>单位</w:t>
            </w:r>
            <w:r>
              <w:rPr>
                <w:rFonts w:hint="eastAsia" w:ascii="楷体_GB2312" w:hAnsi="楷体_GB2312" w:eastAsia="楷体_GB2312" w:cs="楷体_GB2312"/>
                <w:sz w:val="28"/>
                <w:szCs w:val="32"/>
              </w:rPr>
              <w:t>简介</w:t>
            </w:r>
          </w:p>
        </w:tc>
        <w:tc>
          <w:tcPr>
            <w:tcW w:w="6932" w:type="dxa"/>
            <w:gridSpan w:val="3"/>
            <w:vAlign w:val="center"/>
          </w:tcPr>
          <w:p w14:paraId="650A88CA">
            <w:pPr>
              <w:adjustRightInd w:val="0"/>
              <w:snapToGrid w:val="0"/>
              <w:ind w:firstLine="504" w:firstLineChars="200"/>
              <w:jc w:val="both"/>
              <w:rPr>
                <w:rFonts w:ascii="宋体" w:hAnsi="宋体" w:eastAsia="宋体" w:cs="宋体"/>
              </w:rPr>
            </w:pPr>
            <w:r>
              <w:rPr>
                <w:rFonts w:ascii="仿宋_GB2312" w:hAnsi="仿宋_GB2312" w:eastAsia="仿宋_GB2312" w:cs="仿宋_GB2312"/>
                <w:bCs/>
                <w:color w:val="000000"/>
                <w:spacing w:val="6"/>
                <w:szCs w:val="28"/>
              </w:rPr>
              <w:t>中讯邮电咨询设计院有限公司（CITC），原名邮电部设计院，1952年创建于北京。2006年成为中国联通全资子公司，是国家“高新技术企业”，入选“创建世界一流专精特新示范企业”。近年来3项科研成果获国家科技进步奖，国家级优秀设计奖和优秀咨询奖近200项，各类省部级优秀奖1500余项，承担国家重大科技专项近20项。公司以国家战略需求为导向，坚持战略性、前瞻性和应用性，大力推动科技创新，布局战新和未来产业，开展人工智能、下一代互联网、业务智能化等关键核心技术攻关，实现联接+感知+计算+智能+安全的一体化信息通信服务。</w:t>
            </w:r>
          </w:p>
        </w:tc>
      </w:tr>
      <w:tr w14:paraId="252DE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08E22CB5">
            <w:pPr>
              <w:adjustRightInd w:val="0"/>
              <w:snapToGrid w:val="0"/>
              <w:ind w:firstLine="280" w:firstLineChars="100"/>
              <w:jc w:val="both"/>
              <w:rPr>
                <w:rFonts w:ascii="楷体_GB2312" w:hAnsi="楷体_GB2312" w:eastAsia="楷体_GB2312" w:cs="楷体_GB2312"/>
                <w:bCs/>
                <w:spacing w:val="6"/>
                <w:szCs w:val="28"/>
              </w:rPr>
            </w:pPr>
            <w:r>
              <w:rPr>
                <w:rFonts w:hint="eastAsia" w:ascii="楷体_GB2312" w:hAnsi="楷体_GB2312" w:eastAsia="楷体_GB2312" w:cs="楷体_GB2312"/>
                <w:sz w:val="28"/>
                <w:szCs w:val="32"/>
                <w:lang w:val="en-US"/>
              </w:rPr>
              <w:t>联系人</w:t>
            </w:r>
          </w:p>
        </w:tc>
        <w:tc>
          <w:tcPr>
            <w:tcW w:w="3076" w:type="dxa"/>
            <w:vAlign w:val="center"/>
          </w:tcPr>
          <w:p w14:paraId="4375AEE4">
            <w:pPr>
              <w:adjustRightInd w:val="0"/>
              <w:snapToGrid w:val="0"/>
              <w:jc w:val="both"/>
              <w:rPr>
                <w:rFonts w:ascii="仿宋_GB2312" w:hAnsi="仿宋_GB2312" w:eastAsia="仿宋_GB2312" w:cs="仿宋_GB2312"/>
                <w:bCs/>
                <w:spacing w:val="6"/>
                <w:szCs w:val="28"/>
                <w:lang w:val="en-US"/>
              </w:rPr>
            </w:pPr>
            <w:r>
              <w:rPr>
                <w:rFonts w:hint="eastAsia" w:ascii="仿宋_GB2312" w:hAnsi="仿宋_GB2312" w:eastAsia="仿宋_GB2312" w:cs="仿宋_GB2312"/>
                <w:bCs/>
                <w:spacing w:val="6"/>
                <w:szCs w:val="28"/>
                <w:lang w:val="en-US" w:eastAsia="zh-CN"/>
              </w:rPr>
              <w:t>刘梦琪</w:t>
            </w:r>
          </w:p>
        </w:tc>
        <w:tc>
          <w:tcPr>
            <w:tcW w:w="1073" w:type="dxa"/>
            <w:vAlign w:val="center"/>
          </w:tcPr>
          <w:p w14:paraId="5B082683">
            <w:pPr>
              <w:adjustRightInd w:val="0"/>
              <w:spacing w:line="560" w:lineRule="exact"/>
              <w:jc w:val="center"/>
              <w:rPr>
                <w:rFonts w:ascii="楷体_GB2312" w:hAnsi="楷体_GB2312" w:eastAsia="楷体_GB2312" w:cs="楷体_GB2312"/>
                <w:sz w:val="28"/>
                <w:szCs w:val="32"/>
              </w:rPr>
            </w:pPr>
            <w:r>
              <w:rPr>
                <w:rFonts w:hint="eastAsia" w:ascii="楷体_GB2312" w:hAnsi="楷体_GB2312" w:eastAsia="楷体_GB2312" w:cs="楷体_GB2312"/>
                <w:sz w:val="28"/>
                <w:szCs w:val="32"/>
              </w:rPr>
              <w:t>职务</w:t>
            </w:r>
          </w:p>
        </w:tc>
        <w:tc>
          <w:tcPr>
            <w:tcW w:w="2783" w:type="dxa"/>
            <w:vAlign w:val="center"/>
          </w:tcPr>
          <w:p w14:paraId="5555F724">
            <w:pPr>
              <w:adjustRightInd w:val="0"/>
              <w:jc w:val="center"/>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A</w:t>
            </w:r>
            <w:r>
              <w:rPr>
                <w:rFonts w:ascii="仿宋_GB2312" w:hAnsi="仿宋_GB2312" w:eastAsia="仿宋_GB2312" w:cs="仿宋_GB2312"/>
                <w:bCs/>
                <w:color w:val="000000"/>
                <w:spacing w:val="6"/>
                <w:szCs w:val="28"/>
              </w:rPr>
              <w:t>I</w:t>
            </w:r>
            <w:r>
              <w:rPr>
                <w:rFonts w:hint="eastAsia" w:ascii="仿宋_GB2312" w:hAnsi="仿宋_GB2312" w:eastAsia="仿宋_GB2312" w:cs="仿宋_GB2312"/>
                <w:bCs/>
                <w:color w:val="000000"/>
                <w:spacing w:val="6"/>
                <w:szCs w:val="28"/>
              </w:rPr>
              <w:t>算法专家</w:t>
            </w:r>
          </w:p>
        </w:tc>
      </w:tr>
      <w:tr w14:paraId="45EFD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07A4801A">
            <w:pPr>
              <w:adjustRightInd w:val="0"/>
              <w:snapToGrid w:val="0"/>
              <w:jc w:val="center"/>
              <w:rPr>
                <w:rFonts w:ascii="楷体_GB2312" w:hAnsi="楷体_GB2312" w:eastAsia="楷体_GB2312" w:cs="楷体_GB2312"/>
                <w:bCs/>
                <w:spacing w:val="6"/>
                <w:szCs w:val="28"/>
                <w:lang w:val="en-US"/>
              </w:rPr>
            </w:pPr>
            <w:r>
              <w:rPr>
                <w:rFonts w:hint="eastAsia" w:ascii="楷体_GB2312" w:hAnsi="楷体_GB2312" w:eastAsia="楷体_GB2312" w:cs="楷体_GB2312"/>
                <w:sz w:val="28"/>
                <w:szCs w:val="32"/>
                <w:lang w:val="en-US"/>
              </w:rPr>
              <w:t>联系方式</w:t>
            </w:r>
          </w:p>
        </w:tc>
        <w:tc>
          <w:tcPr>
            <w:tcW w:w="3076" w:type="dxa"/>
            <w:vAlign w:val="center"/>
          </w:tcPr>
          <w:p w14:paraId="25071ADC">
            <w:pPr>
              <w:adjustRightInd w:val="0"/>
              <w:snapToGrid w:val="0"/>
              <w:jc w:val="both"/>
              <w:rPr>
                <w:rFonts w:ascii="仿宋_GB2312" w:hAnsi="仿宋_GB2312" w:eastAsia="仿宋_GB2312" w:cs="仿宋_GB2312"/>
                <w:bCs/>
                <w:spacing w:val="6"/>
                <w:szCs w:val="28"/>
                <w:highlight w:val="yellow"/>
                <w:lang w:val="en-US"/>
              </w:rPr>
            </w:pPr>
            <w:r>
              <w:rPr>
                <w:rFonts w:hint="eastAsia" w:ascii="仿宋_GB2312" w:hAnsi="仿宋_GB2312" w:eastAsia="仿宋_GB2312" w:cs="仿宋_GB2312"/>
                <w:bCs/>
                <w:spacing w:val="6"/>
                <w:szCs w:val="28"/>
                <w:highlight w:val="none"/>
                <w:lang w:val="en-US" w:eastAsia="zh-CN"/>
              </w:rPr>
              <w:t>18526823996</w:t>
            </w:r>
          </w:p>
        </w:tc>
        <w:tc>
          <w:tcPr>
            <w:tcW w:w="1073" w:type="dxa"/>
            <w:vAlign w:val="center"/>
          </w:tcPr>
          <w:p w14:paraId="2FB751DD">
            <w:pPr>
              <w:adjustRightInd w:val="0"/>
              <w:spacing w:line="560" w:lineRule="exact"/>
              <w:jc w:val="center"/>
              <w:rPr>
                <w:rFonts w:ascii="楷体_GB2312" w:hAnsi="楷体_GB2312" w:eastAsia="楷体_GB2312" w:cs="楷体_GB2312"/>
                <w:sz w:val="28"/>
                <w:szCs w:val="32"/>
                <w:highlight w:val="yellow"/>
              </w:rPr>
            </w:pPr>
            <w:r>
              <w:rPr>
                <w:rFonts w:hint="eastAsia" w:ascii="楷体_GB2312" w:hAnsi="楷体_GB2312" w:eastAsia="楷体_GB2312" w:cs="楷体_GB2312"/>
                <w:sz w:val="28"/>
                <w:szCs w:val="32"/>
                <w:highlight w:val="none"/>
              </w:rPr>
              <w:t>微信</w:t>
            </w:r>
          </w:p>
        </w:tc>
        <w:tc>
          <w:tcPr>
            <w:tcW w:w="2783" w:type="dxa"/>
            <w:vAlign w:val="center"/>
          </w:tcPr>
          <w:p w14:paraId="4A106B0D">
            <w:pPr>
              <w:adjustRightInd w:val="0"/>
              <w:jc w:val="center"/>
              <w:rPr>
                <w:rFonts w:eastAsia="方正仿宋简体"/>
                <w:highlight w:val="yellow"/>
              </w:rPr>
            </w:pPr>
            <w:r>
              <w:rPr>
                <w:rFonts w:hint="default" w:eastAsia="方正仿宋简体"/>
                <w:highlight w:val="none"/>
                <w:lang w:val="en-US" w:eastAsia="zh-CN"/>
              </w:rPr>
              <w:t>m</w:t>
            </w:r>
            <w:r>
              <w:rPr>
                <w:rFonts w:hint="eastAsia" w:eastAsia="方正仿宋简体"/>
                <w:highlight w:val="none"/>
                <w:lang w:val="en-US" w:eastAsia="zh-CN"/>
              </w:rPr>
              <w:t>engqi</w:t>
            </w:r>
            <w:r>
              <w:rPr>
                <w:rFonts w:hint="default" w:eastAsia="方正仿宋简体"/>
                <w:highlight w:val="none"/>
                <w:lang w:val="en-US" w:eastAsia="zh-CN"/>
              </w:rPr>
              <w:t>_liu1995</w:t>
            </w:r>
          </w:p>
        </w:tc>
      </w:tr>
    </w:tbl>
    <w:p w14:paraId="5580B352">
      <w:pPr>
        <w:tabs>
          <w:tab w:val="left" w:pos="8640"/>
        </w:tabs>
        <w:adjustRightInd w:val="0"/>
        <w:snapToGrid w:val="0"/>
        <w:spacing w:line="560" w:lineRule="exact"/>
        <w:rPr>
          <w:rFonts w:ascii="方正黑体简体" w:eastAsia="方正黑体简体"/>
          <w:bCs/>
          <w:spacing w:val="6"/>
          <w:sz w:val="32"/>
          <w:szCs w:val="32"/>
        </w:rPr>
      </w:pPr>
      <w:r>
        <w:rPr>
          <w:rFonts w:hint="eastAsia" w:ascii="方正黑体简体" w:eastAsia="方正黑体简体"/>
          <w:bCs/>
          <w:spacing w:val="6"/>
          <w:sz w:val="32"/>
          <w:szCs w:val="32"/>
        </w:rPr>
        <w:t>二、选题说明</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13F29E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A4EC278">
            <w:pPr>
              <w:adjustRightInd w:val="0"/>
              <w:snapToGrid w:val="0"/>
              <w:spacing w:line="560" w:lineRule="exact"/>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lang w:val="en-US"/>
              </w:rPr>
              <w:t>选题</w:t>
            </w:r>
            <w:r>
              <w:rPr>
                <w:rFonts w:hint="eastAsia" w:ascii="楷体_GB2312" w:hAnsi="楷体_GB2312" w:eastAsia="楷体_GB2312" w:cs="楷体_GB2312"/>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231D678">
            <w:pPr>
              <w:adjustRightInd w:val="0"/>
              <w:snapToGrid w:val="0"/>
              <w:jc w:val="center"/>
              <w:rPr>
                <w:rFonts w:ascii="仿宋_GB2312" w:hAnsi="仿宋_GB2312" w:eastAsia="仿宋_GB2312" w:cs="仿宋_GB2312"/>
                <w:color w:val="000000"/>
              </w:rPr>
            </w:pPr>
            <w:r>
              <w:rPr>
                <w:rFonts w:ascii="仿宋_GB2312" w:hAnsi="仿宋_GB2312" w:eastAsia="仿宋_GB2312" w:cs="仿宋_GB2312"/>
                <w:color w:val="000000"/>
              </w:rPr>
              <w:t>大模型驱动的无线网络覆盖预测</w:t>
            </w:r>
          </w:p>
        </w:tc>
      </w:tr>
      <w:tr w14:paraId="457CCC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7DA1D6C">
            <w:pPr>
              <w:adjustRightInd w:val="0"/>
              <w:snapToGrid w:val="0"/>
              <w:spacing w:line="560" w:lineRule="exact"/>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4A3FACF">
            <w:pPr>
              <w:adjustRightInd w:val="0"/>
              <w:snapToGrid w:val="0"/>
              <w:ind w:firstLine="504" w:firstLineChars="200"/>
              <w:jc w:val="both"/>
              <w:rPr>
                <w:rFonts w:ascii="仿宋_GB2312" w:hAnsi="仿宋_GB2312" w:eastAsia="仿宋_GB2312" w:cs="仿宋_GB2312"/>
                <w:color w:val="000000"/>
              </w:rPr>
            </w:pPr>
            <w:r>
              <w:rPr>
                <w:rFonts w:ascii="仿宋_GB2312" w:hAnsi="仿宋_GB2312" w:eastAsia="仿宋_GB2312" w:cs="仿宋_GB2312"/>
                <w:bCs/>
                <w:color w:val="000000"/>
                <w:spacing w:val="6"/>
                <w:szCs w:val="28"/>
              </w:rPr>
              <w:t>新一代信息技术、人工智能、通信工程</w:t>
            </w:r>
          </w:p>
        </w:tc>
      </w:tr>
      <w:tr w14:paraId="36EDBB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C8257F9">
            <w:pPr>
              <w:adjustRightInd w:val="0"/>
              <w:snapToGrid w:val="0"/>
              <w:spacing w:line="560" w:lineRule="exact"/>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19BC8E9">
            <w:pPr>
              <w:adjustRightInd w:val="0"/>
              <w:snapToGrid w:val="0"/>
              <w:ind w:firstLine="504" w:firstLineChars="200"/>
              <w:jc w:val="both"/>
              <w:rPr>
                <w:rFonts w:ascii="仿宋_GB2312" w:hAnsi="仿宋_GB2312" w:eastAsia="仿宋_GB2312" w:cs="仿宋_GB2312"/>
                <w:bCs/>
                <w:color w:val="000000"/>
                <w:spacing w:val="6"/>
                <w:szCs w:val="28"/>
              </w:rPr>
            </w:pPr>
            <w:r>
              <w:rPr>
                <w:rFonts w:ascii="仿宋_GB2312" w:hAnsi="仿宋_GB2312" w:eastAsia="仿宋_GB2312" w:cs="仿宋_GB2312"/>
                <w:bCs/>
                <w:color w:val="000000"/>
                <w:spacing w:val="6"/>
                <w:szCs w:val="28"/>
              </w:rPr>
              <w:t>无线网络覆盖能力是支撑社会数字化转型的重要底座，也是实现万物互联、智慧调度与全场景服务的关键保障。然而，在超大型城市中，建筑密集、空间形态异构，叠加电磁环境快速波动与多源干扰，使信号传播呈现强非线性与不确定性。传统经验模型或单一确定性计算方法难以在可控算力成本下同时兼顾高精度与高效率，已成为制约新一代无线网络规划、精准部署与动态优化的重要瓶颈。</w:t>
            </w:r>
          </w:p>
          <w:p w14:paraId="0D95A22B">
            <w:pPr>
              <w:adjustRightInd w:val="0"/>
              <w:snapToGrid w:val="0"/>
              <w:ind w:firstLine="504" w:firstLineChars="200"/>
              <w:jc w:val="both"/>
              <w:rPr>
                <w:rFonts w:ascii="仿宋_GB2312" w:hAnsi="仿宋_GB2312" w:eastAsia="仿宋_GB2312" w:cs="仿宋_GB2312"/>
                <w:bCs/>
                <w:color w:val="000000"/>
                <w:spacing w:val="6"/>
                <w:szCs w:val="28"/>
                <w:lang w:val="en-US"/>
              </w:rPr>
            </w:pPr>
            <w:r>
              <w:rPr>
                <w:rFonts w:ascii="仿宋_GB2312" w:hAnsi="仿宋_GB2312" w:eastAsia="仿宋_GB2312" w:cs="仿宋_GB2312"/>
                <w:bCs/>
                <w:color w:val="000000"/>
                <w:spacing w:val="6"/>
                <w:szCs w:val="28"/>
              </w:rPr>
              <w:t>针对上述痛点，本题目要求揭榜团队融合人工智能、数字孪生等技术，开展新一代无线网络覆盖预测研究。参赛者需挖掘物理环境特征与电磁传播规律的内在关联，构建</w:t>
            </w:r>
            <w:r>
              <w:rPr>
                <w:rFonts w:hint="eastAsia" w:ascii="仿宋_GB2312" w:hAnsi="仿宋_GB2312" w:eastAsia="仿宋_GB2312" w:cs="仿宋_GB2312"/>
                <w:bCs/>
                <w:color w:val="000000"/>
                <w:spacing w:val="6"/>
                <w:szCs w:val="28"/>
              </w:rPr>
              <w:t>大模型</w:t>
            </w:r>
            <w:r>
              <w:rPr>
                <w:rFonts w:ascii="仿宋_GB2312" w:hAnsi="仿宋_GB2312" w:eastAsia="仿宋_GB2312" w:cs="仿宋_GB2312"/>
                <w:bCs/>
                <w:color w:val="000000"/>
                <w:spacing w:val="6"/>
                <w:szCs w:val="28"/>
              </w:rPr>
              <w:t>驱动的智能预测模型，实现城市复杂空间内覆盖状态的高精度映射与可实时更新的仿真模拟；在提升绝对精度的同时，强化跨区域、跨场景的泛化与鲁棒性，为网络建设决策、动态规划与持续优化提供可靠技术支撑与数据指引。</w:t>
            </w:r>
          </w:p>
        </w:tc>
      </w:tr>
      <w:tr w14:paraId="5CFCD6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C575230">
            <w:pPr>
              <w:adjustRightInd w:val="0"/>
              <w:snapToGrid w:val="0"/>
              <w:spacing w:line="560" w:lineRule="exact"/>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47F00F9">
            <w:pPr>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对学生答题和提交的作品方案提出相关具体要求，明确评选标准，</w:t>
            </w:r>
            <w:r>
              <w:rPr>
                <w:rFonts w:hint="eastAsia" w:ascii="仿宋_GB2312" w:hAnsi="仿宋_GB2312" w:eastAsia="仿宋_GB2312" w:cs="仿宋_GB2312"/>
                <w:bCs/>
                <w:color w:val="000000"/>
                <w:spacing w:val="6"/>
                <w:szCs w:val="28"/>
                <w:lang w:val="en-US"/>
              </w:rPr>
              <w:t>清晰阐明作品提报的形式、时间、要求、优劣标准等，</w:t>
            </w:r>
            <w:r>
              <w:rPr>
                <w:rFonts w:hint="eastAsia" w:ascii="仿宋_GB2312" w:hAnsi="仿宋_GB2312" w:eastAsia="仿宋_GB2312" w:cs="仿宋_GB2312"/>
                <w:bCs/>
                <w:color w:val="000000"/>
                <w:spacing w:val="6"/>
                <w:szCs w:val="28"/>
              </w:rPr>
              <w:t>以便参赛学生</w:t>
            </w:r>
            <w:r>
              <w:rPr>
                <w:rFonts w:hint="eastAsia" w:ascii="仿宋_GB2312" w:hAnsi="仿宋_GB2312" w:eastAsia="仿宋_GB2312" w:cs="仿宋_GB2312"/>
                <w:bCs/>
                <w:color w:val="000000"/>
                <w:spacing w:val="6"/>
                <w:szCs w:val="28"/>
                <w:lang w:val="en-US"/>
              </w:rPr>
              <w:t>更为</w:t>
            </w:r>
            <w:r>
              <w:rPr>
                <w:rFonts w:hint="eastAsia" w:ascii="仿宋_GB2312" w:hAnsi="仿宋_GB2312" w:eastAsia="仿宋_GB2312" w:cs="仿宋_GB2312"/>
                <w:bCs/>
                <w:color w:val="000000"/>
                <w:spacing w:val="6"/>
                <w:szCs w:val="28"/>
              </w:rPr>
              <w:t>全面准确地了解选题</w:t>
            </w:r>
            <w:r>
              <w:rPr>
                <w:rFonts w:hint="eastAsia" w:ascii="仿宋_GB2312" w:hAnsi="仿宋_GB2312" w:eastAsia="仿宋_GB2312" w:cs="仿宋_GB2312"/>
                <w:bCs/>
                <w:color w:val="000000"/>
                <w:spacing w:val="6"/>
                <w:szCs w:val="28"/>
                <w:lang w:val="en-US"/>
              </w:rPr>
              <w:t>和扎实</w:t>
            </w:r>
            <w:r>
              <w:rPr>
                <w:rFonts w:hint="eastAsia" w:ascii="仿宋_GB2312" w:hAnsi="仿宋_GB2312" w:eastAsia="仿宋_GB2312" w:cs="仿宋_GB2312"/>
                <w:bCs/>
                <w:color w:val="000000"/>
                <w:spacing w:val="6"/>
                <w:szCs w:val="28"/>
              </w:rPr>
              <w:t>备赛。</w:t>
            </w:r>
          </w:p>
          <w:p w14:paraId="3FCE7CD1">
            <w:pPr>
              <w:adjustRightInd w:val="0"/>
              <w:snapToGrid w:val="0"/>
              <w:ind w:firstLine="504" w:firstLineChars="200"/>
              <w:rPr>
                <w:rFonts w:ascii="仿宋_GB2312" w:hAnsi="仿宋_GB2312" w:eastAsia="仿宋_GB2312" w:cs="仿宋_GB2312"/>
                <w:bCs/>
                <w:color w:val="000000"/>
                <w:spacing w:val="6"/>
                <w:szCs w:val="28"/>
                <w:highlight w:val="none"/>
              </w:rPr>
            </w:pPr>
            <w:r>
              <w:rPr>
                <w:rFonts w:hint="eastAsia" w:ascii="仿宋_GB2312" w:hAnsi="仿宋_GB2312" w:eastAsia="仿宋_GB2312" w:cs="仿宋_GB2312"/>
                <w:bCs/>
                <w:color w:val="000000"/>
                <w:spacing w:val="6"/>
                <w:szCs w:val="28"/>
                <w:highlight w:val="none"/>
              </w:rPr>
              <w:t>1. 参赛团队需提交完整的作品设计报告，阐述如何将</w:t>
            </w:r>
            <w:r>
              <w:rPr>
                <w:rFonts w:ascii="仿宋_GB2312" w:hAnsi="仿宋_GB2312" w:eastAsia="仿宋_GB2312" w:cs="仿宋_GB2312"/>
                <w:bCs/>
                <w:color w:val="000000"/>
                <w:spacing w:val="6"/>
                <w:szCs w:val="28"/>
                <w:highlight w:val="none"/>
              </w:rPr>
              <w:t>AI</w:t>
            </w:r>
            <w:r>
              <w:rPr>
                <w:rFonts w:hint="eastAsia" w:ascii="仿宋_GB2312" w:hAnsi="仿宋_GB2312" w:eastAsia="仿宋_GB2312" w:cs="仿宋_GB2312"/>
                <w:bCs/>
                <w:color w:val="000000"/>
                <w:spacing w:val="6"/>
                <w:szCs w:val="28"/>
                <w:highlight w:val="none"/>
              </w:rPr>
              <w:t>大模型应用于地理数据中，实现对无线网络覆盖的精准预测。</w:t>
            </w:r>
          </w:p>
          <w:p w14:paraId="17F904AA">
            <w:pPr>
              <w:adjustRightInd w:val="0"/>
              <w:snapToGrid w:val="0"/>
              <w:ind w:firstLine="504" w:firstLineChars="200"/>
              <w:rPr>
                <w:rFonts w:ascii="仿宋_GB2312" w:hAnsi="仿宋_GB2312" w:eastAsia="仿宋_GB2312" w:cs="仿宋_GB2312"/>
                <w:bCs/>
                <w:color w:val="000000"/>
                <w:spacing w:val="6"/>
                <w:szCs w:val="28"/>
                <w:highlight w:val="none"/>
              </w:rPr>
            </w:pPr>
            <w:r>
              <w:rPr>
                <w:rFonts w:hint="eastAsia" w:ascii="仿宋_GB2312" w:hAnsi="仿宋_GB2312" w:eastAsia="仿宋_GB2312" w:cs="仿宋_GB2312"/>
                <w:bCs/>
                <w:color w:val="000000"/>
                <w:spacing w:val="6"/>
                <w:szCs w:val="28"/>
                <w:highlight w:val="none"/>
              </w:rPr>
              <w:t>2. 参赛团队需提交无线网络覆盖预测系统使用说明文档，并附带核心源代码</w:t>
            </w:r>
            <w:r>
              <w:rPr>
                <w:rFonts w:hint="eastAsia" w:ascii="仿宋_GB2312" w:hAnsi="仿宋_GB2312" w:eastAsia="仿宋_GB2312" w:cs="仿宋_GB2312"/>
                <w:bCs/>
                <w:color w:val="000000"/>
                <w:spacing w:val="6"/>
                <w:szCs w:val="28"/>
                <w:highlight w:val="none"/>
                <w:lang w:val="en-US" w:eastAsia="zh-CN"/>
              </w:rPr>
              <w:t>和</w:t>
            </w:r>
            <w:r>
              <w:rPr>
                <w:rFonts w:hint="eastAsia" w:ascii="仿宋_GB2312" w:hAnsi="仿宋_GB2312" w:eastAsia="仿宋_GB2312" w:cs="仿宋_GB2312"/>
                <w:bCs/>
                <w:color w:val="000000"/>
                <w:spacing w:val="6"/>
                <w:szCs w:val="28"/>
                <w:highlight w:val="none"/>
              </w:rPr>
              <w:t>软件演示</w:t>
            </w:r>
            <w:r>
              <w:rPr>
                <w:rFonts w:ascii="仿宋_GB2312" w:hAnsi="仿宋_GB2312" w:eastAsia="仿宋_GB2312" w:cs="仿宋_GB2312"/>
                <w:bCs/>
                <w:color w:val="000000"/>
                <w:spacing w:val="6"/>
                <w:szCs w:val="28"/>
                <w:highlight w:val="none"/>
              </w:rPr>
              <w:t>Demo</w:t>
            </w:r>
            <w:r>
              <w:rPr>
                <w:rFonts w:hint="eastAsia" w:ascii="仿宋_GB2312" w:hAnsi="仿宋_GB2312" w:eastAsia="仿宋_GB2312" w:cs="仿宋_GB2312"/>
                <w:bCs/>
                <w:color w:val="000000"/>
                <w:spacing w:val="6"/>
                <w:szCs w:val="28"/>
                <w:highlight w:val="none"/>
              </w:rPr>
              <w:t>。</w:t>
            </w:r>
          </w:p>
          <w:p w14:paraId="6828364E">
            <w:pPr>
              <w:adjustRightInd w:val="0"/>
              <w:snapToGrid w:val="0"/>
              <w:ind w:firstLine="504" w:firstLineChars="200"/>
              <w:rPr>
                <w:rFonts w:ascii="仿宋_GB2312" w:hAnsi="仿宋_GB2312" w:eastAsia="仿宋_GB2312" w:cs="仿宋_GB2312"/>
                <w:bCs/>
                <w:color w:val="000000"/>
                <w:spacing w:val="6"/>
                <w:szCs w:val="28"/>
                <w:highlight w:val="none"/>
              </w:rPr>
            </w:pPr>
            <w:r>
              <w:rPr>
                <w:rFonts w:hint="eastAsia" w:ascii="仿宋_GB2312" w:hAnsi="仿宋_GB2312" w:eastAsia="仿宋_GB2312" w:cs="仿宋_GB2312"/>
                <w:bCs/>
                <w:color w:val="000000"/>
                <w:spacing w:val="6"/>
                <w:szCs w:val="28"/>
                <w:highlight w:val="none"/>
              </w:rPr>
              <w:t xml:space="preserve">3. </w:t>
            </w:r>
            <w:r>
              <w:rPr>
                <w:rFonts w:ascii="仿宋_GB2312" w:hAnsi="仿宋_GB2312" w:eastAsia="仿宋_GB2312" w:cs="仿宋_GB2312"/>
                <w:bCs/>
                <w:color w:val="000000"/>
                <w:spacing w:val="6"/>
                <w:szCs w:val="28"/>
                <w:highlight w:val="none"/>
              </w:rPr>
              <w:t>性能指标要求：在预测精度方面，路径损耗、RSRP等关键指标与实测数据的偏差应小于</w:t>
            </w:r>
            <w:r>
              <w:rPr>
                <w:rFonts w:hint="eastAsia" w:ascii="仿宋_GB2312" w:hAnsi="仿宋_GB2312" w:eastAsia="仿宋_GB2312" w:cs="仿宋_GB2312"/>
                <w:bCs/>
                <w:color w:val="000000"/>
                <w:spacing w:val="6"/>
                <w:szCs w:val="28"/>
                <w:highlight w:val="none"/>
                <w:lang w:val="en-US" w:eastAsia="zh-CN"/>
              </w:rPr>
              <w:t>7</w:t>
            </w:r>
            <w:r>
              <w:rPr>
                <w:rFonts w:hint="eastAsia" w:ascii="仿宋_GB2312" w:hAnsi="仿宋_GB2312" w:eastAsia="仿宋_GB2312" w:cs="仿宋_GB2312"/>
                <w:bCs/>
                <w:color w:val="000000"/>
                <w:spacing w:val="6"/>
                <w:szCs w:val="28"/>
                <w:highlight w:val="none"/>
                <w:lang w:val="en-US"/>
              </w:rPr>
              <w:t xml:space="preserve"> </w:t>
            </w:r>
            <w:r>
              <w:rPr>
                <w:rFonts w:ascii="仿宋_GB2312" w:hAnsi="仿宋_GB2312" w:eastAsia="仿宋_GB2312" w:cs="仿宋_GB2312"/>
                <w:bCs/>
                <w:color w:val="000000"/>
                <w:spacing w:val="6"/>
                <w:szCs w:val="28"/>
                <w:highlight w:val="none"/>
              </w:rPr>
              <w:t>dB；在场景覆盖方面，系统应覆盖不少于3类典型无线传播场景，</w:t>
            </w:r>
            <w:r>
              <w:rPr>
                <w:rFonts w:hint="eastAsia" w:ascii="仿宋_GB2312" w:hAnsi="仿宋_GB2312" w:eastAsia="仿宋_GB2312" w:cs="仿宋_GB2312"/>
                <w:bCs/>
                <w:color w:val="000000"/>
                <w:spacing w:val="6"/>
                <w:szCs w:val="28"/>
                <w:highlight w:val="none"/>
                <w:lang w:val="en-US" w:eastAsia="zh-CN"/>
              </w:rPr>
              <w:t>例如</w:t>
            </w:r>
            <w:r>
              <w:rPr>
                <w:rFonts w:ascii="仿宋_GB2312" w:hAnsi="仿宋_GB2312" w:eastAsia="仿宋_GB2312" w:cs="仿宋_GB2312"/>
                <w:bCs/>
                <w:color w:val="000000"/>
                <w:spacing w:val="6"/>
                <w:szCs w:val="28"/>
                <w:highlight w:val="none"/>
              </w:rPr>
              <w:t>城市高楼密集区、郊区与开阔田野</w:t>
            </w:r>
            <w:r>
              <w:rPr>
                <w:rFonts w:hint="eastAsia" w:ascii="仿宋_GB2312" w:hAnsi="仿宋_GB2312" w:eastAsia="仿宋_GB2312" w:cs="仿宋_GB2312"/>
                <w:bCs/>
                <w:color w:val="000000"/>
                <w:spacing w:val="6"/>
                <w:szCs w:val="28"/>
                <w:highlight w:val="none"/>
                <w:lang w:val="en-US" w:eastAsia="zh-CN"/>
              </w:rPr>
              <w:t>等</w:t>
            </w:r>
            <w:r>
              <w:rPr>
                <w:rFonts w:ascii="仿宋_GB2312" w:hAnsi="仿宋_GB2312" w:eastAsia="仿宋_GB2312" w:cs="仿宋_GB2312"/>
                <w:bCs/>
                <w:color w:val="000000"/>
                <w:spacing w:val="6"/>
                <w:szCs w:val="28"/>
                <w:highlight w:val="none"/>
              </w:rPr>
              <w:t>；在计算效率方面，</w:t>
            </w:r>
            <w:r>
              <w:rPr>
                <w:rFonts w:hint="eastAsia" w:ascii="仿宋_GB2312" w:hAnsi="仿宋_GB2312" w:eastAsia="仿宋_GB2312" w:cs="仿宋_GB2312"/>
                <w:bCs/>
                <w:color w:val="000000"/>
                <w:spacing w:val="6"/>
                <w:szCs w:val="28"/>
                <w:highlight w:val="none"/>
                <w:lang w:val="en-US" w:eastAsia="zh-CN"/>
              </w:rPr>
              <w:t>每1</w:t>
            </w:r>
            <w:r>
              <w:rPr>
                <w:rFonts w:ascii="仿宋_GB2312" w:hAnsi="仿宋_GB2312" w:eastAsia="仿宋_GB2312" w:cs="仿宋_GB2312"/>
                <w:bCs/>
                <w:color w:val="000000"/>
                <w:spacing w:val="6"/>
                <w:szCs w:val="28"/>
                <w:highlight w:val="none"/>
              </w:rPr>
              <w:t>平方公里</w:t>
            </w:r>
            <w:r>
              <w:rPr>
                <w:rFonts w:hint="eastAsia" w:ascii="仿宋_GB2312" w:hAnsi="仿宋_GB2312" w:eastAsia="仿宋_GB2312" w:cs="仿宋_GB2312"/>
                <w:bCs/>
                <w:color w:val="000000"/>
                <w:spacing w:val="6"/>
                <w:szCs w:val="28"/>
                <w:highlight w:val="none"/>
                <w:lang w:eastAsia="zh-CN"/>
              </w:rPr>
              <w:t>（</w:t>
            </w:r>
            <w:r>
              <w:rPr>
                <w:rFonts w:hint="eastAsia" w:ascii="仿宋_GB2312" w:hAnsi="仿宋_GB2312" w:eastAsia="仿宋_GB2312" w:cs="仿宋_GB2312"/>
                <w:bCs/>
                <w:color w:val="000000"/>
                <w:spacing w:val="6"/>
                <w:szCs w:val="28"/>
                <w:highlight w:val="none"/>
                <w:lang w:val="en-US" w:eastAsia="zh-CN"/>
              </w:rPr>
              <w:t>区域内至少含20个发射点位</w:t>
            </w:r>
            <w:r>
              <w:rPr>
                <w:rFonts w:hint="eastAsia" w:ascii="仿宋_GB2312" w:hAnsi="仿宋_GB2312" w:eastAsia="仿宋_GB2312" w:cs="仿宋_GB2312"/>
                <w:bCs/>
                <w:color w:val="000000"/>
                <w:spacing w:val="6"/>
                <w:szCs w:val="28"/>
                <w:highlight w:val="none"/>
                <w:lang w:eastAsia="zh-CN"/>
              </w:rPr>
              <w:t>）</w:t>
            </w:r>
            <w:r>
              <w:rPr>
                <w:rFonts w:ascii="仿宋_GB2312" w:hAnsi="仿宋_GB2312" w:eastAsia="仿宋_GB2312" w:cs="仿宋_GB2312"/>
                <w:bCs/>
                <w:color w:val="000000"/>
                <w:spacing w:val="6"/>
                <w:szCs w:val="28"/>
                <w:highlight w:val="none"/>
              </w:rPr>
              <w:t>复杂城区场景，计算时间应控制在</w:t>
            </w:r>
            <w:r>
              <w:rPr>
                <w:rFonts w:hint="eastAsia" w:ascii="仿宋_GB2312" w:hAnsi="仿宋_GB2312" w:eastAsia="仿宋_GB2312" w:cs="仿宋_GB2312"/>
                <w:bCs/>
                <w:color w:val="000000"/>
                <w:spacing w:val="6"/>
                <w:szCs w:val="28"/>
                <w:highlight w:val="none"/>
                <w:lang w:val="en-US" w:eastAsia="zh-CN"/>
              </w:rPr>
              <w:t>30分钟</w:t>
            </w:r>
            <w:r>
              <w:rPr>
                <w:rFonts w:ascii="仿宋_GB2312" w:hAnsi="仿宋_GB2312" w:eastAsia="仿宋_GB2312" w:cs="仿宋_GB2312"/>
                <w:bCs/>
                <w:color w:val="000000"/>
                <w:spacing w:val="6"/>
                <w:szCs w:val="28"/>
                <w:highlight w:val="none"/>
              </w:rPr>
              <w:t>以内。</w:t>
            </w:r>
          </w:p>
          <w:p w14:paraId="2C6D142C">
            <w:pPr>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4. 参赛作品必须保证原创性，</w:t>
            </w:r>
            <w:r>
              <w:rPr>
                <w:rFonts w:ascii="仿宋_GB2312" w:hAnsi="仿宋_GB2312" w:eastAsia="仿宋_GB2312" w:cs="仿宋_GB2312"/>
                <w:bCs/>
                <w:color w:val="000000"/>
                <w:spacing w:val="6"/>
                <w:szCs w:val="28"/>
              </w:rPr>
              <w:t>杜绝一切抄袭或剽窃他人成果的作品参赛，</w:t>
            </w:r>
            <w:r>
              <w:rPr>
                <w:rFonts w:hint="eastAsia" w:ascii="仿宋_GB2312" w:hAnsi="仿宋_GB2312" w:eastAsia="仿宋_GB2312" w:cs="仿宋_GB2312"/>
                <w:bCs/>
                <w:color w:val="000000"/>
                <w:spacing w:val="6"/>
                <w:szCs w:val="28"/>
              </w:rPr>
              <w:t>且未在其他全国性竞赛中获得国家级奖项。</w:t>
            </w:r>
          </w:p>
          <w:p w14:paraId="705C1DB8">
            <w:pPr>
              <w:adjustRightInd w:val="0"/>
              <w:snapToGrid w:val="0"/>
              <w:ind w:firstLine="504" w:firstLineChars="200"/>
              <w:rPr>
                <w:rFonts w:ascii="仿宋_GB2312" w:hAnsi="仿宋_GB2312" w:eastAsia="仿宋_GB2312" w:cs="仿宋_GB2312"/>
                <w:color w:val="000000"/>
              </w:rPr>
            </w:pPr>
            <w:r>
              <w:rPr>
                <w:rFonts w:hint="eastAsia" w:ascii="仿宋_GB2312" w:hAnsi="仿宋_GB2312" w:eastAsia="仿宋_GB2312" w:cs="仿宋_GB2312"/>
                <w:bCs/>
                <w:color w:val="000000"/>
                <w:spacing w:val="6"/>
                <w:szCs w:val="28"/>
              </w:rPr>
              <w:t>5. 参赛团队需在规定时间内通过</w:t>
            </w:r>
            <w:r>
              <w:rPr>
                <w:rFonts w:hint="eastAsia" w:ascii="仿宋_GB2312" w:hAnsi="仿宋_GB2312" w:eastAsia="仿宋_GB2312" w:cs="仿宋_GB2312"/>
                <w:bCs/>
                <w:color w:val="000000"/>
                <w:spacing w:val="6"/>
                <w:szCs w:val="28"/>
                <w:lang w:val="en-US"/>
              </w:rPr>
              <w:t>指定渠道提交</w:t>
            </w:r>
            <w:r>
              <w:rPr>
                <w:rFonts w:hint="eastAsia" w:ascii="仿宋_GB2312" w:hAnsi="仿宋_GB2312" w:eastAsia="仿宋_GB2312" w:cs="仿宋_GB2312"/>
                <w:bCs/>
                <w:color w:val="000000"/>
                <w:spacing w:val="6"/>
                <w:szCs w:val="28"/>
              </w:rPr>
              <w:t>作品</w:t>
            </w:r>
            <w:r>
              <w:rPr>
                <w:rFonts w:hint="eastAsia" w:ascii="仿宋_GB2312" w:hAnsi="仿宋_GB2312" w:eastAsia="仿宋_GB2312" w:cs="仿宋_GB2312"/>
                <w:bCs/>
                <w:color w:val="000000"/>
                <w:spacing w:val="6"/>
                <w:szCs w:val="28"/>
                <w:highlight w:val="none"/>
              </w:rPr>
              <w:t>。</w:t>
            </w:r>
          </w:p>
        </w:tc>
      </w:tr>
      <w:tr w14:paraId="7EC08E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AA92D7">
            <w:pPr>
              <w:overflowPunct w:val="0"/>
              <w:adjustRightInd w:val="0"/>
              <w:snapToGrid w:val="0"/>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作品评审</w:t>
            </w:r>
          </w:p>
          <w:p w14:paraId="122F699E">
            <w:pPr>
              <w:overflowPunct w:val="0"/>
              <w:adjustRightInd w:val="0"/>
              <w:snapToGrid w:val="0"/>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FF3453">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要清晰写明作品评审标准，让参赛选手明确从哪些维度来考察作品，一般应有量化指标和详细说明。</w:t>
            </w:r>
          </w:p>
          <w:p w14:paraId="128B2DE6">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1. 作品完整性（60分）</w:t>
            </w:r>
          </w:p>
          <w:p w14:paraId="7160B3C3">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（1）作品完成度（40分）：独立研发并完成</w:t>
            </w:r>
            <w:r>
              <w:rPr>
                <w:rFonts w:ascii="仿宋_GB2312" w:hAnsi="仿宋_GB2312" w:eastAsia="仿宋_GB2312" w:cs="仿宋_GB2312"/>
                <w:bCs/>
                <w:color w:val="000000"/>
                <w:spacing w:val="6"/>
                <w:szCs w:val="28"/>
              </w:rPr>
              <w:t>大模型驱动的无线网络覆盖预测</w:t>
            </w:r>
            <w:r>
              <w:rPr>
                <w:rFonts w:hint="eastAsia" w:ascii="仿宋_GB2312" w:hAnsi="仿宋_GB2312" w:eastAsia="仿宋_GB2312" w:cs="仿宋_GB2312"/>
                <w:bCs/>
                <w:color w:val="000000"/>
                <w:spacing w:val="6"/>
                <w:szCs w:val="28"/>
              </w:rPr>
              <w:t>系统，功能完整，便于操作。如未完成系统集成或仅有理论方案，按照功能实现比例给予评定，最高不超过</w:t>
            </w:r>
            <w:r>
              <w:rPr>
                <w:rFonts w:ascii="仿宋_GB2312" w:hAnsi="仿宋_GB2312" w:eastAsia="仿宋_GB2312" w:cs="仿宋_GB2312"/>
                <w:bCs/>
                <w:color w:val="000000"/>
                <w:spacing w:val="6"/>
                <w:szCs w:val="28"/>
              </w:rPr>
              <w:t>20</w:t>
            </w:r>
            <w:r>
              <w:rPr>
                <w:rFonts w:hint="eastAsia" w:ascii="仿宋_GB2312" w:hAnsi="仿宋_GB2312" w:eastAsia="仿宋_GB2312" w:cs="仿宋_GB2312"/>
                <w:bCs/>
                <w:color w:val="000000"/>
                <w:spacing w:val="6"/>
                <w:szCs w:val="28"/>
              </w:rPr>
              <w:t>分。</w:t>
            </w:r>
          </w:p>
          <w:p w14:paraId="23A49430">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（2）系统性能（20分）：根据系统的预测精度、仿真推理效率等指标进行评分，综合评定</w:t>
            </w:r>
            <w:r>
              <w:rPr>
                <w:rFonts w:ascii="仿宋_GB2312" w:hAnsi="仿宋_GB2312" w:eastAsia="仿宋_GB2312" w:cs="仿宋_GB2312"/>
                <w:bCs/>
                <w:color w:val="000000"/>
                <w:spacing w:val="6"/>
                <w:szCs w:val="28"/>
              </w:rPr>
              <w:t>0-</w:t>
            </w:r>
            <w:r>
              <w:rPr>
                <w:rFonts w:hint="eastAsia" w:ascii="仿宋_GB2312" w:hAnsi="仿宋_GB2312" w:eastAsia="仿宋_GB2312" w:cs="仿宋_GB2312"/>
                <w:bCs/>
                <w:color w:val="000000"/>
                <w:spacing w:val="6"/>
                <w:szCs w:val="28"/>
                <w:lang w:val="en-US"/>
              </w:rPr>
              <w:t>2</w:t>
            </w:r>
            <w:r>
              <w:rPr>
                <w:rFonts w:ascii="仿宋_GB2312" w:hAnsi="仿宋_GB2312" w:eastAsia="仿宋_GB2312" w:cs="仿宋_GB2312"/>
                <w:bCs/>
                <w:color w:val="000000"/>
                <w:spacing w:val="6"/>
                <w:szCs w:val="28"/>
              </w:rPr>
              <w:t>0</w:t>
            </w:r>
            <w:r>
              <w:rPr>
                <w:rFonts w:hint="eastAsia" w:ascii="仿宋_GB2312" w:hAnsi="仿宋_GB2312" w:eastAsia="仿宋_GB2312" w:cs="仿宋_GB2312"/>
                <w:bCs/>
                <w:color w:val="000000"/>
                <w:spacing w:val="6"/>
                <w:szCs w:val="28"/>
              </w:rPr>
              <w:t>分。</w:t>
            </w:r>
          </w:p>
          <w:p w14:paraId="29BD304C">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2. 技术价值（30分）</w:t>
            </w:r>
          </w:p>
          <w:p w14:paraId="45A81C12">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（1）技术创新点（20分）：</w:t>
            </w:r>
            <w:r>
              <w:rPr>
                <w:rFonts w:ascii="仿宋_GB2312" w:hAnsi="仿宋_GB2312" w:eastAsia="仿宋_GB2312" w:cs="仿宋_GB2312"/>
                <w:bCs/>
                <w:color w:val="000000"/>
                <w:spacing w:val="6"/>
                <w:szCs w:val="28"/>
              </w:rPr>
              <w:t>考量作品在系统设计、数据处理、策略开发、大模型技术应用等方面的创新点，</w:t>
            </w:r>
            <w:r>
              <w:rPr>
                <w:rFonts w:hint="eastAsia" w:ascii="仿宋_GB2312" w:hAnsi="仿宋_GB2312" w:eastAsia="仿宋_GB2312" w:cs="仿宋_GB2312"/>
                <w:bCs/>
                <w:color w:val="000000"/>
                <w:spacing w:val="6"/>
                <w:szCs w:val="28"/>
              </w:rPr>
              <w:t>综合评定</w:t>
            </w:r>
            <w:r>
              <w:rPr>
                <w:rFonts w:ascii="仿宋_GB2312" w:hAnsi="仿宋_GB2312" w:eastAsia="仿宋_GB2312" w:cs="仿宋_GB2312"/>
                <w:bCs/>
                <w:color w:val="000000"/>
                <w:spacing w:val="6"/>
                <w:szCs w:val="28"/>
              </w:rPr>
              <w:t>0-20</w:t>
            </w:r>
            <w:r>
              <w:rPr>
                <w:rFonts w:hint="eastAsia" w:ascii="仿宋_GB2312" w:hAnsi="仿宋_GB2312" w:eastAsia="仿宋_GB2312" w:cs="仿宋_GB2312"/>
                <w:bCs/>
                <w:color w:val="000000"/>
                <w:spacing w:val="6"/>
                <w:szCs w:val="28"/>
              </w:rPr>
              <w:t>分。</w:t>
            </w:r>
          </w:p>
          <w:p w14:paraId="3B9D875D">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（2）实用性和应用前景（10分）：</w:t>
            </w:r>
            <w:r>
              <w:rPr>
                <w:rFonts w:ascii="仿宋_GB2312" w:hAnsi="仿宋_GB2312" w:eastAsia="仿宋_GB2312" w:cs="仿宋_GB2312"/>
                <w:bCs/>
                <w:color w:val="000000"/>
                <w:spacing w:val="6"/>
                <w:szCs w:val="28"/>
              </w:rPr>
              <w:t>根据系统在实际场景中的应用价值</w:t>
            </w:r>
            <w:r>
              <w:rPr>
                <w:rFonts w:hint="eastAsia" w:ascii="仿宋_GB2312" w:hAnsi="仿宋_GB2312" w:eastAsia="仿宋_GB2312" w:cs="仿宋_GB2312"/>
                <w:bCs/>
                <w:color w:val="000000"/>
                <w:spacing w:val="6"/>
                <w:szCs w:val="28"/>
              </w:rPr>
              <w:t>、</w:t>
            </w:r>
            <w:r>
              <w:rPr>
                <w:rFonts w:ascii="仿宋_GB2312" w:hAnsi="仿宋_GB2312" w:eastAsia="仿宋_GB2312" w:cs="仿宋_GB2312"/>
                <w:bCs/>
                <w:color w:val="000000"/>
                <w:spacing w:val="6"/>
                <w:szCs w:val="28"/>
              </w:rPr>
              <w:t>系统部署和维护的成本效益比进行打分，</w:t>
            </w:r>
            <w:r>
              <w:rPr>
                <w:rFonts w:hint="eastAsia" w:ascii="仿宋_GB2312" w:hAnsi="仿宋_GB2312" w:eastAsia="仿宋_GB2312" w:cs="仿宋_GB2312"/>
                <w:bCs/>
                <w:color w:val="000000"/>
                <w:spacing w:val="6"/>
                <w:szCs w:val="28"/>
              </w:rPr>
              <w:t>综合评定</w:t>
            </w:r>
            <w:r>
              <w:rPr>
                <w:rFonts w:ascii="仿宋_GB2312" w:hAnsi="仿宋_GB2312" w:eastAsia="仿宋_GB2312" w:cs="仿宋_GB2312"/>
                <w:bCs/>
                <w:color w:val="000000"/>
                <w:spacing w:val="6"/>
                <w:szCs w:val="28"/>
              </w:rPr>
              <w:t>0-10</w:t>
            </w:r>
            <w:r>
              <w:rPr>
                <w:rFonts w:hint="eastAsia" w:ascii="仿宋_GB2312" w:hAnsi="仿宋_GB2312" w:eastAsia="仿宋_GB2312" w:cs="仿宋_GB2312"/>
                <w:bCs/>
                <w:color w:val="000000"/>
                <w:spacing w:val="6"/>
                <w:szCs w:val="28"/>
              </w:rPr>
              <w:t>分。</w:t>
            </w:r>
          </w:p>
          <w:p w14:paraId="042697C3">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3. 提交材料（10分）</w:t>
            </w:r>
          </w:p>
          <w:p w14:paraId="668C801C">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（1）文档材料（5分）：根据作品设计报告</w:t>
            </w:r>
            <w:r>
              <w:rPr>
                <w:rFonts w:ascii="仿宋_GB2312" w:hAnsi="仿宋_GB2312" w:eastAsia="仿宋_GB2312" w:cs="仿宋_GB2312"/>
                <w:bCs/>
                <w:color w:val="000000"/>
                <w:spacing w:val="6"/>
                <w:szCs w:val="28"/>
              </w:rPr>
              <w:t>等文档材料是否内容齐全、页面整洁、图标清晰、措辞准确</w:t>
            </w:r>
            <w:r>
              <w:rPr>
                <w:rFonts w:hint="eastAsia" w:ascii="仿宋_GB2312" w:hAnsi="仿宋_GB2312" w:eastAsia="仿宋_GB2312" w:cs="仿宋_GB2312"/>
                <w:bCs/>
                <w:color w:val="000000"/>
                <w:spacing w:val="6"/>
                <w:szCs w:val="28"/>
              </w:rPr>
              <w:t>，综合评定0-5分</w:t>
            </w:r>
            <w:r>
              <w:rPr>
                <w:rFonts w:ascii="仿宋_GB2312" w:hAnsi="仿宋_GB2312" w:eastAsia="仿宋_GB2312" w:cs="仿宋_GB2312"/>
                <w:bCs/>
                <w:color w:val="000000"/>
                <w:spacing w:val="6"/>
                <w:szCs w:val="28"/>
              </w:rPr>
              <w:t>。</w:t>
            </w:r>
          </w:p>
          <w:p w14:paraId="0D955723">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（2）用户体验（5分）：评估</w:t>
            </w:r>
            <w:r>
              <w:rPr>
                <w:rFonts w:ascii="仿宋_GB2312" w:hAnsi="仿宋_GB2312" w:eastAsia="仿宋_GB2312" w:cs="仿宋_GB2312"/>
                <w:bCs/>
                <w:color w:val="000000"/>
                <w:spacing w:val="6"/>
                <w:szCs w:val="28"/>
              </w:rPr>
              <w:t>用户是否能清晰迅速地掌握完整技术方案的流程，</w:t>
            </w:r>
            <w:r>
              <w:rPr>
                <w:rFonts w:hint="eastAsia" w:ascii="仿宋_GB2312" w:hAnsi="仿宋_GB2312" w:eastAsia="仿宋_GB2312" w:cs="仿宋_GB2312"/>
                <w:bCs/>
                <w:color w:val="000000"/>
                <w:spacing w:val="6"/>
                <w:szCs w:val="28"/>
              </w:rPr>
              <w:t>是否能</w:t>
            </w:r>
            <w:r>
              <w:rPr>
                <w:rFonts w:ascii="仿宋_GB2312" w:hAnsi="仿宋_GB2312" w:eastAsia="仿宋_GB2312" w:cs="仿宋_GB2312"/>
                <w:bCs/>
                <w:color w:val="000000"/>
                <w:spacing w:val="6"/>
                <w:szCs w:val="28"/>
              </w:rPr>
              <w:t>根据自身需求和说明文档独立</w:t>
            </w:r>
            <w:r>
              <w:rPr>
                <w:rFonts w:hint="eastAsia" w:ascii="仿宋_GB2312" w:hAnsi="仿宋_GB2312" w:eastAsia="仿宋_GB2312" w:cs="仿宋_GB2312"/>
                <w:bCs/>
                <w:color w:val="000000"/>
                <w:spacing w:val="6"/>
                <w:szCs w:val="28"/>
              </w:rPr>
              <w:t>自主使用该系统，综合评定0-5分。</w:t>
            </w:r>
          </w:p>
        </w:tc>
      </w:tr>
      <w:tr w14:paraId="077E0E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AB5499D">
            <w:pPr>
              <w:overflowPunct w:val="0"/>
              <w:adjustRightInd w:val="0"/>
              <w:snapToGrid w:val="0"/>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7E24F92">
            <w:pPr>
              <w:overflowPunct w:val="0"/>
              <w:adjustRightInd w:val="0"/>
              <w:snapToGrid w:val="0"/>
              <w:ind w:firstLine="480"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color w:val="000000"/>
              </w:rPr>
              <w:t>关于选题的其他提醒或相关要求说明。</w:t>
            </w:r>
          </w:p>
        </w:tc>
      </w:tr>
    </w:tbl>
    <w:p w14:paraId="74DB1B48">
      <w:pPr>
        <w:tabs>
          <w:tab w:val="left" w:pos="8640"/>
        </w:tabs>
        <w:adjustRightInd w:val="0"/>
        <w:snapToGrid w:val="0"/>
        <w:spacing w:line="440" w:lineRule="exact"/>
        <w:rPr>
          <w:rFonts w:ascii="方正黑体简体" w:eastAsia="方正黑体简体"/>
          <w:bCs/>
          <w:spacing w:val="6"/>
          <w:sz w:val="32"/>
          <w:szCs w:val="32"/>
        </w:rPr>
      </w:pPr>
      <w:r>
        <w:rPr>
          <w:rFonts w:hint="eastAsia" w:ascii="方正黑体简体" w:eastAsia="方正黑体简体"/>
          <w:bCs/>
          <w:spacing w:val="6"/>
          <w:sz w:val="32"/>
          <w:szCs w:val="32"/>
        </w:rPr>
        <w:t>三、激励保障</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7BA59F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2414"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3642615">
            <w:pPr>
              <w:adjustRightInd w:val="0"/>
              <w:snapToGrid w:val="0"/>
              <w:spacing w:line="560" w:lineRule="exact"/>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lang w:val="en-US"/>
              </w:rPr>
              <w:t>保障</w:t>
            </w:r>
            <w:r>
              <w:rPr>
                <w:rFonts w:hint="eastAsia" w:ascii="楷体_GB2312" w:hAnsi="楷体_GB2312" w:eastAsia="楷体_GB2312" w:cs="楷体_GB2312"/>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CDA1FC5">
            <w:pPr>
              <w:adjustRightInd w:val="0"/>
              <w:snapToGrid w:val="0"/>
              <w:ind w:firstLine="504" w:firstLineChars="200"/>
              <w:jc w:val="both"/>
              <w:rPr>
                <w:rFonts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说明</w:t>
            </w:r>
            <w:r>
              <w:rPr>
                <w:rFonts w:hint="eastAsia" w:ascii="仿宋_GB2312" w:hAnsi="仿宋_GB2312" w:eastAsia="仿宋_GB2312" w:cs="仿宋_GB2312"/>
                <w:bCs/>
                <w:color w:val="000000"/>
                <w:spacing w:val="6"/>
                <w:szCs w:val="28"/>
              </w:rPr>
              <w:t>单位为参赛团队可提供</w:t>
            </w:r>
            <w:r>
              <w:rPr>
                <w:rFonts w:hint="eastAsia" w:ascii="仿宋_GB2312" w:hAnsi="仿宋_GB2312" w:eastAsia="仿宋_GB2312" w:cs="仿宋_GB2312"/>
                <w:bCs/>
                <w:color w:val="000000"/>
                <w:spacing w:val="6"/>
                <w:szCs w:val="28"/>
                <w:lang w:val="en-US"/>
              </w:rPr>
              <w:t>的指导帮助</w:t>
            </w:r>
            <w:r>
              <w:rPr>
                <w:rFonts w:hint="eastAsia" w:ascii="仿宋_GB2312" w:hAnsi="仿宋_GB2312" w:eastAsia="仿宋_GB2312" w:cs="仿宋_GB2312"/>
                <w:bCs/>
                <w:color w:val="000000"/>
                <w:spacing w:val="6"/>
                <w:szCs w:val="28"/>
              </w:rPr>
              <w:t>等，比如参观应用场景、</w:t>
            </w:r>
            <w:r>
              <w:rPr>
                <w:rFonts w:hint="eastAsia" w:ascii="仿宋_GB2312" w:hAnsi="仿宋_GB2312" w:eastAsia="仿宋_GB2312" w:cs="仿宋_GB2312"/>
                <w:bCs/>
                <w:color w:val="000000"/>
                <w:spacing w:val="6"/>
                <w:szCs w:val="28"/>
                <w:lang w:val="en-US"/>
              </w:rPr>
              <w:t>实践调研</w:t>
            </w:r>
            <w:r>
              <w:rPr>
                <w:rFonts w:hint="eastAsia" w:ascii="仿宋_GB2312" w:hAnsi="仿宋_GB2312" w:eastAsia="仿宋_GB2312" w:cs="仿宋_GB2312"/>
                <w:bCs/>
                <w:color w:val="000000"/>
                <w:spacing w:val="6"/>
                <w:szCs w:val="28"/>
              </w:rPr>
              <w:t>、</w:t>
            </w:r>
            <w:r>
              <w:rPr>
                <w:rFonts w:hint="eastAsia" w:ascii="仿宋_GB2312" w:hAnsi="仿宋_GB2312" w:eastAsia="仿宋_GB2312" w:cs="仿宋_GB2312"/>
                <w:bCs/>
                <w:color w:val="000000"/>
                <w:spacing w:val="6"/>
                <w:szCs w:val="28"/>
                <w:lang w:val="en-US"/>
              </w:rPr>
              <w:t>提供可供参考的</w:t>
            </w:r>
            <w:r>
              <w:rPr>
                <w:rFonts w:hint="eastAsia" w:ascii="仿宋_GB2312" w:hAnsi="仿宋_GB2312" w:eastAsia="仿宋_GB2312" w:cs="仿宋_GB2312"/>
                <w:bCs/>
                <w:color w:val="000000"/>
                <w:spacing w:val="6"/>
                <w:szCs w:val="28"/>
              </w:rPr>
              <w:t>以往</w:t>
            </w:r>
            <w:r>
              <w:rPr>
                <w:rFonts w:hint="eastAsia" w:ascii="仿宋_GB2312" w:hAnsi="仿宋_GB2312" w:eastAsia="仿宋_GB2312" w:cs="仿宋_GB2312"/>
                <w:bCs/>
                <w:color w:val="000000"/>
                <w:spacing w:val="6"/>
                <w:szCs w:val="28"/>
                <w:lang w:val="en-US"/>
              </w:rPr>
              <w:t>相关研究资料</w:t>
            </w:r>
            <w:r>
              <w:rPr>
                <w:rFonts w:hint="eastAsia" w:ascii="仿宋_GB2312" w:hAnsi="仿宋_GB2312" w:eastAsia="仿宋_GB2312" w:cs="仿宋_GB2312"/>
                <w:bCs/>
                <w:color w:val="000000"/>
                <w:spacing w:val="6"/>
                <w:szCs w:val="28"/>
              </w:rPr>
              <w:t>材料等，配备</w:t>
            </w:r>
            <w:r>
              <w:rPr>
                <w:rFonts w:hint="eastAsia" w:ascii="仿宋_GB2312" w:hAnsi="仿宋_GB2312" w:eastAsia="仿宋_GB2312" w:cs="仿宋_GB2312"/>
                <w:bCs/>
                <w:color w:val="000000"/>
                <w:spacing w:val="6"/>
                <w:szCs w:val="28"/>
                <w:lang w:val="en-US"/>
              </w:rPr>
              <w:t>专门</w:t>
            </w:r>
            <w:r>
              <w:rPr>
                <w:rFonts w:hint="eastAsia" w:ascii="仿宋_GB2312" w:hAnsi="仿宋_GB2312" w:eastAsia="仿宋_GB2312" w:cs="仿宋_GB2312"/>
                <w:bCs/>
                <w:color w:val="000000"/>
                <w:spacing w:val="6"/>
                <w:szCs w:val="28"/>
              </w:rPr>
              <w:t>指导人员、</w:t>
            </w:r>
            <w:r>
              <w:rPr>
                <w:rFonts w:hint="eastAsia" w:ascii="仿宋_GB2312" w:hAnsi="仿宋_GB2312" w:eastAsia="仿宋_GB2312" w:cs="仿宋_GB2312"/>
                <w:bCs/>
                <w:color w:val="000000"/>
                <w:spacing w:val="6"/>
                <w:szCs w:val="28"/>
                <w:lang w:val="en-US"/>
              </w:rPr>
              <w:t>推动产教融合</w:t>
            </w:r>
            <w:r>
              <w:rPr>
                <w:rFonts w:hint="eastAsia" w:ascii="仿宋_GB2312" w:hAnsi="仿宋_GB2312" w:eastAsia="仿宋_GB2312" w:cs="仿宋_GB2312"/>
                <w:bCs/>
                <w:color w:val="000000"/>
                <w:spacing w:val="6"/>
                <w:szCs w:val="28"/>
              </w:rPr>
              <w:t>等，</w:t>
            </w:r>
            <w:r>
              <w:rPr>
                <w:rFonts w:hint="eastAsia" w:ascii="仿宋_GB2312" w:hAnsi="仿宋_GB2312" w:eastAsia="仿宋_GB2312" w:cs="仿宋_GB2312"/>
                <w:bCs/>
                <w:color w:val="000000"/>
                <w:spacing w:val="6"/>
                <w:szCs w:val="28"/>
                <w:lang w:val="en-US"/>
              </w:rPr>
              <w:t>写明落实时间和</w:t>
            </w:r>
            <w:r>
              <w:rPr>
                <w:rFonts w:hint="eastAsia" w:ascii="仿宋_GB2312" w:hAnsi="仿宋_GB2312" w:eastAsia="仿宋_GB2312" w:cs="仿宋_GB2312"/>
                <w:bCs/>
                <w:color w:val="000000"/>
                <w:spacing w:val="6"/>
                <w:szCs w:val="28"/>
              </w:rPr>
              <w:t>落实</w:t>
            </w:r>
            <w:r>
              <w:rPr>
                <w:rFonts w:hint="eastAsia" w:ascii="仿宋_GB2312" w:hAnsi="仿宋_GB2312" w:eastAsia="仿宋_GB2312" w:cs="仿宋_GB2312"/>
                <w:bCs/>
                <w:color w:val="000000"/>
                <w:spacing w:val="6"/>
                <w:szCs w:val="28"/>
                <w:lang w:val="en-US"/>
              </w:rPr>
              <w:t>保障措施。</w:t>
            </w:r>
          </w:p>
          <w:p w14:paraId="1E8480EC">
            <w:pPr>
              <w:adjustRightInd w:val="0"/>
              <w:snapToGrid w:val="0"/>
              <w:ind w:firstLine="504" w:firstLineChars="200"/>
              <w:jc w:val="both"/>
              <w:rPr>
                <w:rFonts w:ascii="仿宋_GB2312" w:hAnsi="仿宋_GB2312" w:eastAsia="仿宋_GB2312" w:cs="仿宋_GB2312"/>
                <w:bCs/>
                <w:color w:val="000000"/>
                <w:spacing w:val="6"/>
                <w:szCs w:val="28"/>
                <w:lang w:val="en-US"/>
              </w:rPr>
            </w:pPr>
            <w:r>
              <w:rPr>
                <w:rFonts w:ascii="仿宋_GB2312" w:hAnsi="仿宋_GB2312" w:eastAsia="仿宋_GB2312" w:cs="仿宋_GB2312"/>
                <w:bCs/>
                <w:color w:val="000000"/>
                <w:spacing w:val="6"/>
                <w:szCs w:val="28"/>
                <w:lang w:val="en-US"/>
              </w:rPr>
              <w:t>对于参加本项目的参赛团队，本单位可以根据团队的实际需求，在</w:t>
            </w:r>
            <w:r>
              <w:rPr>
                <w:rFonts w:hint="eastAsia" w:ascii="仿宋_GB2312" w:hAnsi="仿宋_GB2312" w:eastAsia="仿宋_GB2312" w:cs="仿宋_GB2312"/>
                <w:bCs/>
                <w:color w:val="000000"/>
                <w:spacing w:val="6"/>
                <w:szCs w:val="28"/>
                <w:lang w:val="en-US"/>
              </w:rPr>
              <w:t>技术</w:t>
            </w:r>
            <w:r>
              <w:rPr>
                <w:rFonts w:ascii="仿宋_GB2312" w:hAnsi="仿宋_GB2312" w:eastAsia="仿宋_GB2312" w:cs="仿宋_GB2312"/>
                <w:bCs/>
                <w:color w:val="000000"/>
                <w:spacing w:val="6"/>
                <w:szCs w:val="28"/>
                <w:lang w:val="en-US"/>
              </w:rPr>
              <w:t>交流、专业指导以及其他项目必须条件等方面提供帮助。</w:t>
            </w:r>
          </w:p>
          <w:p w14:paraId="0FE93E49">
            <w:pPr>
              <w:adjustRightInd w:val="0"/>
              <w:snapToGrid w:val="0"/>
              <w:ind w:firstLine="504" w:firstLineChars="200"/>
              <w:jc w:val="both"/>
              <w:rPr>
                <w:rFonts w:ascii="仿宋_GB2312" w:hAnsi="仿宋_GB2312" w:eastAsia="仿宋_GB2312" w:cs="仿宋_GB2312"/>
                <w:bCs/>
                <w:color w:val="000000"/>
                <w:spacing w:val="6"/>
                <w:szCs w:val="28"/>
                <w:lang w:val="en-US"/>
              </w:rPr>
            </w:pPr>
            <w:r>
              <w:rPr>
                <w:rFonts w:ascii="仿宋_GB2312" w:hAnsi="仿宋_GB2312" w:eastAsia="仿宋_GB2312" w:cs="仿宋_GB2312"/>
                <w:bCs/>
                <w:color w:val="000000"/>
                <w:spacing w:val="6"/>
                <w:szCs w:val="28"/>
                <w:lang w:val="en-US"/>
              </w:rPr>
              <w:t>本单位在参赛团队完成相关审核等程序后可提供以学校为单位的参观应用现场的机会。</w:t>
            </w:r>
          </w:p>
          <w:p w14:paraId="4EE0947E">
            <w:pPr>
              <w:adjustRightInd w:val="0"/>
              <w:snapToGrid w:val="0"/>
              <w:ind w:firstLine="504" w:firstLineChars="200"/>
              <w:jc w:val="both"/>
              <w:rPr>
                <w:rFonts w:ascii="仿宋_GB2312" w:hAnsi="仿宋_GB2312" w:eastAsia="仿宋_GB2312" w:cs="仿宋_GB2312"/>
                <w:bCs/>
                <w:color w:val="000000"/>
                <w:spacing w:val="6"/>
                <w:szCs w:val="28"/>
                <w:lang w:val="en-US"/>
              </w:rPr>
            </w:pPr>
            <w:r>
              <w:rPr>
                <w:rFonts w:ascii="仿宋_GB2312" w:hAnsi="仿宋_GB2312" w:eastAsia="仿宋_GB2312" w:cs="仿宋_GB2312"/>
                <w:bCs/>
                <w:color w:val="000000"/>
                <w:spacing w:val="6"/>
                <w:szCs w:val="28"/>
                <w:lang w:val="en-US"/>
              </w:rPr>
              <w:t>本单位将为此次赛事组建专家指导团队，指导团队将由本单位专家组成，同时团队还将为参赛团队指定辅导老师，介绍选题技术背景、技术细节，针对开发过程的疑问定期进行解答。辅导老师由本单位专业技术人员组成，在参赛团队</w:t>
            </w:r>
          </w:p>
          <w:p w14:paraId="09E7114D">
            <w:pPr>
              <w:adjustRightInd w:val="0"/>
              <w:snapToGrid w:val="0"/>
              <w:jc w:val="both"/>
              <w:rPr>
                <w:rFonts w:ascii="仿宋_GB2312" w:hAnsi="仿宋_GB2312" w:eastAsia="仿宋_GB2312" w:cs="仿宋_GB2312"/>
                <w:bCs/>
                <w:color w:val="000000"/>
                <w:spacing w:val="6"/>
                <w:szCs w:val="28"/>
                <w:lang w:val="en-US"/>
              </w:rPr>
            </w:pPr>
            <w:r>
              <w:rPr>
                <w:rFonts w:ascii="仿宋_GB2312" w:hAnsi="仿宋_GB2312" w:eastAsia="仿宋_GB2312" w:cs="仿宋_GB2312"/>
                <w:bCs/>
                <w:color w:val="000000"/>
                <w:spacing w:val="6"/>
                <w:szCs w:val="28"/>
                <w:lang w:val="en-US"/>
              </w:rPr>
              <w:t>完成报名后予以明确。</w:t>
            </w:r>
          </w:p>
        </w:tc>
      </w:tr>
      <w:tr w14:paraId="20B007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595"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7E15203">
            <w:pPr>
              <w:adjustRightInd w:val="0"/>
              <w:snapToGrid w:val="0"/>
              <w:spacing w:line="560" w:lineRule="exact"/>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9F40088">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一、奖项设置</w:t>
            </w:r>
          </w:p>
          <w:p w14:paraId="765597D7">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eastAsia="zh-CN"/>
              </w:rPr>
              <w:t>原则上设“擂主”团队1个，</w:t>
            </w:r>
            <w:r>
              <w:rPr>
                <w:rFonts w:hint="eastAsia" w:ascii="仿宋_GB2312" w:hAnsi="仿宋_GB2312" w:eastAsia="仿宋_GB2312" w:cs="仿宋_GB2312"/>
                <w:bCs/>
                <w:color w:val="000000"/>
                <w:spacing w:val="6"/>
                <w:szCs w:val="28"/>
                <w:lang w:val="en-US"/>
              </w:rPr>
              <w:t>根据实际情况评出相应的特等奖、一等奖、二等奖、三等奖若干</w:t>
            </w:r>
          </w:p>
          <w:p w14:paraId="0496E11A">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二、 激励措施</w:t>
            </w:r>
          </w:p>
          <w:p w14:paraId="67227C3E">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1. 研究成果如具有在本单位实践应用的价值，则获奖团队成员在中讯邮电咨询设计院有限公司实习生招聘时，同等条件下可优先录用。“擂主”团队可直接获得实习机会，并配备资深员工作为职业导师。</w:t>
            </w:r>
          </w:p>
          <w:p w14:paraId="0DB860D0">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2.获奖团队纳入公司人才库，“擂主”团队在校园招聘中可直接获得“面试直通卡”优先录用。“擂主”团队成员，若成功入职，在首次定岗、导师配备、培养计划等方面可获得一定程度的倾斜。</w:t>
            </w:r>
          </w:p>
          <w:p w14:paraId="3A141069">
            <w:pPr>
              <w:adjustRightInd w:val="0"/>
              <w:snapToGrid w:val="0"/>
              <w:ind w:firstLine="504" w:firstLineChars="200"/>
              <w:jc w:val="both"/>
              <w:rPr>
                <w:rFonts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3.对于具有实践应用价值的研究成果，公司将组织专家进行 “成果转化可行性评估”。评估通过后，将优秀成果向公司内部业务部门或战略合作伙伴进行专项推介，搭建对接桥梁。</w:t>
            </w:r>
          </w:p>
        </w:tc>
      </w:tr>
    </w:tbl>
    <w:p w14:paraId="214C2041">
      <w:pPr>
        <w:tabs>
          <w:tab w:val="left" w:pos="8640"/>
        </w:tabs>
        <w:adjustRightInd w:val="0"/>
        <w:snapToGrid w:val="0"/>
        <w:spacing w:line="560" w:lineRule="exact"/>
        <w:rPr>
          <w:rFonts w:ascii="方正黑体简体" w:eastAsia="方正黑体简体"/>
          <w:bCs/>
          <w:spacing w:val="6"/>
          <w:sz w:val="32"/>
          <w:szCs w:val="32"/>
          <w:lang w:val="en-US"/>
        </w:rPr>
      </w:pPr>
      <w:r>
        <w:rPr>
          <w:rFonts w:hint="eastAsia" w:ascii="方正黑体简体" w:eastAsia="方正黑体简体"/>
          <w:bCs/>
          <w:spacing w:val="6"/>
          <w:sz w:val="32"/>
          <w:szCs w:val="32"/>
          <w:lang w:val="en-US"/>
        </w:rPr>
        <w:t>四、选题意义</w:t>
      </w:r>
    </w:p>
    <w:tbl>
      <w:tblPr>
        <w:tblStyle w:val="1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61BC3A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6247"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2EFD560F">
            <w:pPr>
              <w:overflowPunct w:val="0"/>
              <w:adjustRightInd w:val="0"/>
              <w:snapToGrid w:val="0"/>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5DBA78">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说明题目对攻关某项“卡脖子”关键核心技术、对解决某项科技发展前沿的技术难题、对突破某项制约产业发展的技术瓶颈，或对解决当前社会科学领域中相关重大课题和现实问题等具有何种意义或推动价值。</w:t>
            </w:r>
          </w:p>
          <w:p w14:paraId="06C3EA87">
            <w:pPr>
              <w:overflowPunct w:val="0"/>
              <w:adjustRightInd w:val="0"/>
              <w:snapToGrid w:val="0"/>
              <w:ind w:firstLine="504" w:firstLineChars="200"/>
              <w:rPr>
                <w:rFonts w:ascii="仿宋_GB2312" w:hAnsi="仿宋_GB2312" w:eastAsia="仿宋_GB2312" w:cs="仿宋_GB2312"/>
                <w:bCs/>
                <w:color w:val="000000"/>
                <w:spacing w:val="6"/>
                <w:szCs w:val="28"/>
                <w:lang w:val="en-US"/>
              </w:rPr>
            </w:pPr>
            <w:r>
              <w:rPr>
                <w:rFonts w:ascii="仿宋_GB2312" w:hAnsi="仿宋_GB2312" w:eastAsia="仿宋_GB2312" w:cs="仿宋_GB2312"/>
                <w:bCs/>
                <w:color w:val="000000"/>
                <w:spacing w:val="6"/>
                <w:szCs w:val="28"/>
                <w:lang w:val="en-US"/>
              </w:rPr>
              <w:t>本选题面向我国通信行业在无线网络规划、优化与运营环节长期存在的关键痛点，聚焦攻关“高精度无线网络仿真”这一支撑5G-A/6G建设与精细化运营的底层核心能力。当前高精度仿真工具与关键模型能力仍存在受制于外的风险，同时传统仿真方法普遍面临“精度与效率难以兼顾、数据与模型割裂、工程落地成本高”的现实瓶颈，难以满足复杂城市场景、交通干线、室内外融合等新型网络建设对快速评估、精准推演与闭环优化的迫切需求。因此，研发</w:t>
            </w:r>
            <w:r>
              <w:rPr>
                <w:rFonts w:ascii="仿宋_GB2312" w:hAnsi="仿宋_GB2312" w:eastAsia="仿宋_GB2312" w:cs="仿宋_GB2312"/>
                <w:color w:val="000000"/>
              </w:rPr>
              <w:t>大模型驱动的无线网络覆盖预测</w:t>
            </w:r>
            <w:r>
              <w:rPr>
                <w:rFonts w:hint="eastAsia" w:ascii="仿宋_GB2312" w:hAnsi="仿宋_GB2312" w:eastAsia="仿宋_GB2312" w:cs="仿宋_GB2312"/>
                <w:color w:val="000000"/>
              </w:rPr>
              <w:t>系统</w:t>
            </w:r>
            <w:r>
              <w:rPr>
                <w:rFonts w:ascii="仿宋_GB2312" w:hAnsi="仿宋_GB2312" w:eastAsia="仿宋_GB2312" w:cs="仿宋_GB2312"/>
                <w:bCs/>
                <w:color w:val="000000"/>
                <w:spacing w:val="6"/>
                <w:szCs w:val="28"/>
                <w:lang w:val="en-US"/>
              </w:rPr>
              <w:t>，具有显著的“卡脖子”技术攻关意义</w:t>
            </w:r>
            <w:r>
              <w:rPr>
                <w:rFonts w:hint="eastAsia" w:ascii="仿宋_GB2312" w:hAnsi="仿宋_GB2312" w:eastAsia="仿宋_GB2312" w:cs="仿宋_GB2312"/>
                <w:bCs/>
                <w:color w:val="000000"/>
                <w:spacing w:val="6"/>
                <w:szCs w:val="28"/>
                <w:lang w:val="en-US"/>
              </w:rPr>
              <w:t>，</w:t>
            </w:r>
            <w:r>
              <w:rPr>
                <w:rFonts w:ascii="仿宋_GB2312" w:hAnsi="仿宋_GB2312" w:eastAsia="仿宋_GB2312" w:cs="仿宋_GB2312"/>
                <w:bCs/>
                <w:color w:val="000000"/>
                <w:spacing w:val="6"/>
                <w:szCs w:val="28"/>
                <w:lang w:val="en-US"/>
              </w:rPr>
              <w:t>有助于提升我国在网络规建维优核心工具链上的独立可控与持续演进能力，为5G-A/6G网络建设提供关键工具支撑。本选题探索</w:t>
            </w:r>
            <w:r>
              <w:rPr>
                <w:rFonts w:hint="eastAsia" w:ascii="仿宋_GB2312" w:hAnsi="仿宋_GB2312" w:eastAsia="仿宋_GB2312" w:cs="仿宋_GB2312"/>
                <w:bCs/>
                <w:color w:val="000000"/>
                <w:spacing w:val="6"/>
                <w:szCs w:val="28"/>
                <w:lang w:val="en-US"/>
              </w:rPr>
              <w:t>基于大模型驱动的无线网络覆盖预测模型，相比传统射线跟踪方法能显著提升计算效率，相比经验公式则能显著提升预测精度，</w:t>
            </w:r>
            <w:r>
              <w:rPr>
                <w:rFonts w:ascii="仿宋_GB2312" w:hAnsi="仿宋_GB2312" w:eastAsia="仿宋_GB2312" w:cs="仿宋_GB2312"/>
                <w:bCs/>
                <w:color w:val="000000"/>
                <w:spacing w:val="6"/>
                <w:szCs w:val="28"/>
                <w:lang w:val="en-US"/>
              </w:rPr>
              <w:t>推动无线智能建模走向高</w:t>
            </w:r>
            <w:r>
              <w:rPr>
                <w:rFonts w:hint="eastAsia" w:ascii="仿宋_GB2312" w:hAnsi="仿宋_GB2312" w:eastAsia="仿宋_GB2312" w:cs="仿宋_GB2312"/>
                <w:bCs/>
                <w:color w:val="000000"/>
                <w:spacing w:val="6"/>
                <w:szCs w:val="28"/>
                <w:lang w:val="en-US"/>
              </w:rPr>
              <w:t>精度</w:t>
            </w:r>
            <w:r>
              <w:rPr>
                <w:rFonts w:ascii="仿宋_GB2312" w:hAnsi="仿宋_GB2312" w:eastAsia="仿宋_GB2312" w:cs="仿宋_GB2312"/>
                <w:bCs/>
                <w:color w:val="000000"/>
                <w:spacing w:val="6"/>
                <w:szCs w:val="28"/>
                <w:lang w:val="en-US"/>
              </w:rPr>
              <w:t>、可工程化的新阶段。为复杂场景下的网络规划、建设评估与运营优化提供长期、稳定、可复制的技术支撑。</w:t>
            </w:r>
          </w:p>
        </w:tc>
      </w:tr>
      <w:tr w14:paraId="75E449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D17AB5">
            <w:pPr>
              <w:overflowPunct w:val="0"/>
              <w:adjustRightInd w:val="0"/>
              <w:snapToGrid w:val="0"/>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64D207">
            <w:pPr>
              <w:overflowPunct w:val="0"/>
              <w:adjustRightInd w:val="0"/>
              <w:snapToGrid w:val="0"/>
              <w:ind w:firstLine="504" w:firstLineChars="200"/>
              <w:jc w:val="both"/>
              <w:rPr>
                <w:rFonts w:ascii="仿宋_GB2312" w:hAnsi="仿宋_GB2312" w:eastAsia="仿宋_GB2312" w:cs="仿宋_GB2312"/>
                <w:bCs/>
                <w:color w:val="000000"/>
                <w:spacing w:val="6"/>
                <w:szCs w:val="28"/>
              </w:rPr>
            </w:pPr>
            <w:r>
              <w:rPr>
                <w:rFonts w:ascii="仿宋_GB2312" w:hAnsi="仿宋_GB2312" w:eastAsia="仿宋_GB2312" w:cs="仿宋_GB2312"/>
                <w:bCs/>
                <w:color w:val="000000"/>
                <w:spacing w:val="6"/>
                <w:szCs w:val="28"/>
              </w:rPr>
              <w:t>本选题成果在运营商网络规、建、维、优全流程落地后，将形成显著的降本增效与投资效率提升。</w:t>
            </w:r>
            <w:r>
              <w:rPr>
                <w:rFonts w:hint="eastAsia" w:ascii="仿宋_GB2312" w:hAnsi="仿宋_GB2312" w:eastAsia="仿宋_GB2312" w:cs="仿宋_GB2312"/>
                <w:bCs/>
                <w:color w:val="000000"/>
                <w:spacing w:val="6"/>
                <w:szCs w:val="28"/>
              </w:rPr>
              <w:t>在网络规划阶段，基于高精度、高效仿真能力可实现站址布局的精准规划，在相同覆盖质量要求下，可减少一定比例的基站建设需求，规模化后可为运营商节省巨额基础设施投资；</w:t>
            </w:r>
            <w:r>
              <w:rPr>
                <w:rFonts w:ascii="仿宋_GB2312" w:hAnsi="仿宋_GB2312" w:eastAsia="仿宋_GB2312" w:cs="仿宋_GB2312"/>
                <w:bCs/>
                <w:color w:val="000000"/>
                <w:spacing w:val="6"/>
                <w:szCs w:val="28"/>
              </w:rPr>
              <w:t>另一方面，成果将直接提升网络投资决策质量与资源配置效率：通过更精准的覆盖与容量推演，可缩短网络优化周期、提升复杂场景覆盖与网络体验一致性，进而提升用户满意度与业务承载能力，增强运营商在重点区域、重点场景的精细化运营能力，促进5G-A/6G新业务与新应用更快落地，形成持续的运营收益与长期竞争优势。从更宏观的社会效益看，本成果有助于提升我国无线网络仿真与智能优化关键工具链的自主供给能力，带动相关数据、算法、平台与工程服务的国产生态发展，为数字经济发展与新型工业化提供基础底座与关键生产力支撑。</w:t>
            </w:r>
          </w:p>
        </w:tc>
      </w:tr>
    </w:tbl>
    <w:p w14:paraId="46B3D662">
      <w:pPr>
        <w:rPr>
          <w:rFonts w:hint="eastAsia" w:ascii="仿宋_GB2312" w:eastAsia="仿宋_GB2312"/>
          <w:bCs/>
          <w:sz w:val="32"/>
          <w:szCs w:val="32"/>
          <w:lang w:val="en-US"/>
        </w:rPr>
      </w:pPr>
      <w:r>
        <w:rPr>
          <w:rFonts w:hint="eastAsia" w:ascii="仿宋_GB2312" w:eastAsia="仿宋_GB2312"/>
          <w:bCs/>
          <w:sz w:val="32"/>
          <w:szCs w:val="32"/>
          <w:lang w:val="en-US"/>
        </w:rPr>
        <w:br w:type="page"/>
      </w:r>
    </w:p>
    <w:p w14:paraId="7D7C4F91">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“青智未来”新质生产力</w:t>
      </w:r>
      <w:r>
        <w:rPr>
          <w:rFonts w:hint="default" w:ascii="Times New Roman" w:hAnsi="Times New Roman" w:eastAsia="方正小标宋简体" w:cs="Times New Roman"/>
          <w:b w:val="0"/>
          <w:bCs/>
          <w:kern w:val="2"/>
          <w:sz w:val="44"/>
          <w:szCs w:val="32"/>
          <w:highlight w:val="none"/>
          <w:lang w:val="en-US" w:eastAsia="zh-CN"/>
        </w:rPr>
        <w:t>专项赛</w:t>
      </w:r>
    </w:p>
    <w:p w14:paraId="25A9AB77">
      <w:pPr>
        <w:keepNext w:val="0"/>
        <w:keepLines w:val="0"/>
        <w:pageBreakBefore w:val="0"/>
        <w:widowControl w:val="0"/>
        <w:tabs>
          <w:tab w:val="left" w:pos="8640"/>
        </w:tabs>
        <w:kinsoku/>
        <w:wordWrap w:val="0"/>
        <w:topLinePunct w:val="0"/>
        <w:autoSpaceDE/>
        <w:autoSpaceDN/>
        <w:bidi w:val="0"/>
        <w:adjustRightInd w:val="0"/>
        <w:snapToGrid w:val="0"/>
        <w:spacing w:line="560" w:lineRule="exact"/>
        <w:jc w:val="center"/>
        <w:rPr>
          <w:rFonts w:hint="default" w:ascii="Times New Roman" w:hAnsi="Times New Roman" w:eastAsia="方正小标宋简体" w:cs="Times New Roman"/>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—1</w:t>
      </w:r>
      <w:r>
        <w:rPr>
          <w:rFonts w:hint="eastAsia" w:eastAsia="方正小标宋简体" w:cs="方正小标宋简体"/>
          <w:b w:val="0"/>
          <w:bCs/>
          <w:kern w:val="2"/>
          <w:sz w:val="44"/>
          <w:szCs w:val="32"/>
          <w:highlight w:val="none"/>
          <w:lang w:val="en-US" w:eastAsia="zh-CN"/>
        </w:rPr>
        <w:t>7</w:t>
      </w:r>
    </w:p>
    <w:p w14:paraId="3C943755">
      <w:pPr>
        <w:keepNext w:val="0"/>
        <w:keepLines w:val="0"/>
        <w:pageBreakBefore w:val="0"/>
        <w:widowControl w:val="0"/>
        <w:tabs>
          <w:tab w:val="left" w:pos="8640"/>
        </w:tabs>
        <w:kinsoku/>
        <w:wordWrap w:val="0"/>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b w:val="0"/>
          <w:bCs/>
          <w:kern w:val="2"/>
          <w:sz w:val="32"/>
          <w:szCs w:val="22"/>
          <w:highlight w:val="none"/>
          <w:lang w:val="en-US" w:eastAsia="zh-CN"/>
        </w:rPr>
      </w:pPr>
    </w:p>
    <w:p w14:paraId="1AF87796">
      <w:pPr>
        <w:tabs>
          <w:tab w:val="left" w:pos="8640"/>
        </w:tabs>
        <w:adjustRightInd w:val="0"/>
        <w:snapToGrid w:val="0"/>
        <w:spacing w:line="560" w:lineRule="exact"/>
        <w:rPr>
          <w:rFonts w:hint="eastAsia" w:ascii="方正楷体简体" w:hAnsi="方正楷体简体" w:eastAsia="方正楷体简体" w:cs="方正楷体简体"/>
          <w:bCs/>
          <w:spacing w:val="6"/>
          <w:highlight w:val="none"/>
        </w:rPr>
      </w:pPr>
      <w:r>
        <w:rPr>
          <w:rFonts w:hint="eastAsia" w:ascii="方正黑体简体" w:eastAsia="方正黑体简体"/>
          <w:bCs/>
          <w:spacing w:val="6"/>
          <w:sz w:val="32"/>
          <w:szCs w:val="32"/>
          <w:highlight w:val="none"/>
        </w:rPr>
        <w:t>一、单位信息</w:t>
      </w:r>
    </w:p>
    <w:tbl>
      <w:tblPr>
        <w:tblStyle w:val="11"/>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3B9B7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3D0B1C1A">
            <w:pPr>
              <w:adjustRightInd w:val="0"/>
              <w:spacing w:line="560" w:lineRule="exact"/>
              <w:jc w:val="center"/>
              <w:rPr>
                <w:rFonts w:hint="eastAsia" w:ascii="楷体_GB2312" w:hAnsi="楷体_GB2312" w:eastAsia="楷体_GB2312" w:cs="楷体_GB2312"/>
                <w:sz w:val="28"/>
                <w:szCs w:val="32"/>
                <w:highlight w:val="none"/>
              </w:rPr>
            </w:pPr>
            <w:r>
              <w:rPr>
                <w:rFonts w:hint="eastAsia" w:ascii="楷体_GB2312" w:hAnsi="楷体_GB2312" w:eastAsia="楷体_GB2312" w:cs="楷体_GB2312"/>
                <w:sz w:val="28"/>
                <w:szCs w:val="32"/>
                <w:highlight w:val="none"/>
              </w:rPr>
              <w:t>单位名称</w:t>
            </w:r>
          </w:p>
        </w:tc>
        <w:tc>
          <w:tcPr>
            <w:tcW w:w="6932" w:type="dxa"/>
            <w:gridSpan w:val="3"/>
            <w:vAlign w:val="center"/>
          </w:tcPr>
          <w:p w14:paraId="1706FE14">
            <w:pPr>
              <w:adjustRightInd w:val="0"/>
              <w:snapToGrid w:val="0"/>
              <w:jc w:val="center"/>
              <w:rPr>
                <w:rFonts w:hint="eastAsia" w:ascii="仿宋_GB2312" w:hAnsi="仿宋_GB2312" w:eastAsia="仿宋_GB2312" w:cs="仿宋_GB2312"/>
                <w:highlight w:val="none"/>
              </w:rPr>
            </w:pPr>
            <w:r>
              <w:rPr>
                <w:rFonts w:ascii="仿宋_GB2312" w:hAnsi="仿宋_GB2312" w:eastAsia="仿宋_GB2312" w:cs="仿宋_GB2312"/>
                <w:bCs/>
                <w:spacing w:val="6"/>
                <w:szCs w:val="28"/>
                <w:highlight w:val="none"/>
                <w:lang w:val="en-US"/>
              </w:rPr>
              <w:t>北京美联同创医学检验实验室有限公司</w:t>
            </w:r>
          </w:p>
        </w:tc>
      </w:tr>
      <w:tr w14:paraId="18B02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1692EE8C">
            <w:pPr>
              <w:adjustRightInd w:val="0"/>
              <w:snapToGrid w:val="0"/>
              <w:jc w:val="center"/>
              <w:rPr>
                <w:rFonts w:hint="eastAsia" w:ascii="楷体_GB2312" w:hAnsi="楷体_GB2312" w:eastAsia="楷体_GB2312" w:cs="楷体_GB2312"/>
                <w:bCs/>
                <w:spacing w:val="6"/>
                <w:szCs w:val="28"/>
                <w:highlight w:val="none"/>
                <w:lang w:val="en-US"/>
              </w:rPr>
            </w:pPr>
            <w:r>
              <w:rPr>
                <w:rFonts w:hint="eastAsia" w:ascii="楷体_GB2312" w:hAnsi="楷体_GB2312" w:eastAsia="楷体_GB2312" w:cs="楷体_GB2312"/>
                <w:sz w:val="28"/>
                <w:szCs w:val="32"/>
                <w:highlight w:val="none"/>
                <w:lang w:val="en-US"/>
              </w:rPr>
              <w:t>单位类型</w:t>
            </w:r>
          </w:p>
        </w:tc>
        <w:tc>
          <w:tcPr>
            <w:tcW w:w="6932" w:type="dxa"/>
            <w:gridSpan w:val="3"/>
            <w:vAlign w:val="center"/>
          </w:tcPr>
          <w:p w14:paraId="23518145">
            <w:pPr>
              <w:adjustRightInd w:val="0"/>
              <w:snapToGrid w:val="0"/>
              <w:jc w:val="both"/>
              <w:rPr>
                <w:rFonts w:hint="eastAsia" w:ascii="仿宋_GB2312" w:hAnsi="仿宋_GB2312" w:eastAsia="仿宋_GB2312" w:cs="仿宋_GB2312"/>
                <w:bCs/>
                <w:spacing w:val="6"/>
                <w:szCs w:val="28"/>
                <w:highlight w:val="none"/>
                <w:lang w:val="en-US" w:eastAsia="zh-CN"/>
              </w:rPr>
            </w:pPr>
            <w:r>
              <w:rPr>
                <w:rFonts w:hint="eastAsia" w:ascii="仿宋_GB2312" w:hAnsi="仿宋_GB2312" w:eastAsia="仿宋_GB2312" w:cs="仿宋_GB2312"/>
                <w:bCs/>
                <w:spacing w:val="6"/>
                <w:szCs w:val="28"/>
                <w:highlight w:val="none"/>
                <w:lang w:val="en-US" w:eastAsia="zh-CN"/>
              </w:rPr>
              <w:t>私营企业</w:t>
            </w:r>
          </w:p>
        </w:tc>
      </w:tr>
      <w:tr w14:paraId="77AAC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3E3B93FB">
            <w:pPr>
              <w:adjustRightInd w:val="0"/>
              <w:spacing w:line="560" w:lineRule="exact"/>
              <w:jc w:val="center"/>
              <w:rPr>
                <w:rFonts w:hint="eastAsia" w:ascii="楷体_GB2312" w:hAnsi="楷体_GB2312" w:eastAsia="楷体_GB2312" w:cs="楷体_GB2312"/>
                <w:sz w:val="28"/>
                <w:szCs w:val="32"/>
                <w:highlight w:val="none"/>
              </w:rPr>
            </w:pPr>
            <w:r>
              <w:rPr>
                <w:rFonts w:hint="eastAsia" w:ascii="楷体_GB2312" w:hAnsi="楷体_GB2312" w:eastAsia="楷体_GB2312" w:cs="楷体_GB2312"/>
                <w:sz w:val="28"/>
                <w:szCs w:val="32"/>
                <w:highlight w:val="none"/>
              </w:rPr>
              <w:t>地址</w:t>
            </w:r>
          </w:p>
        </w:tc>
        <w:tc>
          <w:tcPr>
            <w:tcW w:w="6932" w:type="dxa"/>
            <w:gridSpan w:val="3"/>
            <w:vAlign w:val="center"/>
          </w:tcPr>
          <w:p w14:paraId="4235871E">
            <w:pPr>
              <w:adjustRightInd w:val="0"/>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北京市昌平区城南街道振兴路2号院5号楼1层、2层101</w:t>
            </w:r>
          </w:p>
        </w:tc>
      </w:tr>
      <w:tr w14:paraId="611BB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7ED52A87">
            <w:pPr>
              <w:adjustRightInd w:val="0"/>
              <w:spacing w:line="560" w:lineRule="exact"/>
              <w:jc w:val="center"/>
              <w:rPr>
                <w:rFonts w:hint="eastAsia" w:ascii="楷体_GB2312" w:hAnsi="楷体_GB2312" w:eastAsia="楷体_GB2312" w:cs="楷体_GB2312"/>
                <w:sz w:val="28"/>
                <w:szCs w:val="32"/>
                <w:highlight w:val="none"/>
              </w:rPr>
            </w:pPr>
            <w:r>
              <w:rPr>
                <w:rFonts w:hint="eastAsia" w:ascii="楷体_GB2312" w:hAnsi="楷体_GB2312" w:eastAsia="楷体_GB2312" w:cs="楷体_GB2312"/>
                <w:sz w:val="28"/>
                <w:szCs w:val="32"/>
                <w:highlight w:val="none"/>
                <w:lang w:val="en-US"/>
              </w:rPr>
              <w:t>单位</w:t>
            </w:r>
            <w:r>
              <w:rPr>
                <w:rFonts w:hint="eastAsia" w:ascii="楷体_GB2312" w:hAnsi="楷体_GB2312" w:eastAsia="楷体_GB2312" w:cs="楷体_GB2312"/>
                <w:sz w:val="28"/>
                <w:szCs w:val="32"/>
                <w:highlight w:val="none"/>
              </w:rPr>
              <w:t>简介</w:t>
            </w:r>
          </w:p>
        </w:tc>
        <w:tc>
          <w:tcPr>
            <w:tcW w:w="6932" w:type="dxa"/>
            <w:gridSpan w:val="3"/>
            <w:vAlign w:val="center"/>
          </w:tcPr>
          <w:p w14:paraId="1653825B">
            <w:pPr>
              <w:adjustRightInd w:val="0"/>
              <w:snapToGrid w:val="0"/>
              <w:jc w:val="both"/>
              <w:rPr>
                <w:rFonts w:hint="eastAsia" w:ascii="仿宋_GB2312" w:hAnsi="仿宋_GB2312" w:eastAsia="仿宋_GB2312" w:cs="仿宋_GB2312"/>
                <w:bCs/>
                <w:spacing w:val="6"/>
                <w:szCs w:val="28"/>
                <w:highlight w:val="none"/>
              </w:rPr>
            </w:pPr>
            <w:r>
              <w:rPr>
                <w:rFonts w:hint="eastAsia" w:ascii="仿宋_GB2312" w:hAnsi="仿宋_GB2312" w:eastAsia="仿宋_GB2312" w:cs="仿宋_GB2312"/>
                <w:bCs/>
                <w:spacing w:val="6"/>
                <w:szCs w:val="28"/>
                <w:highlight w:val="none"/>
                <w:lang w:val="en-US"/>
              </w:rPr>
              <w:t>北京美联同创医学检验实验室有限公司，中关村高科技企业，成立于2016年，位于北京市昌平区城南街道振兴路2号院5号楼1层、2层，注册资金1000万元。IS015189:ILAC:CNAS认证医学检验国际实验室科研机构与医疗机构，主要从事基因、免疫、细胞技术在疾病诊断、治疗的创新CGT(Cel1GeneTherapy)技术研究、技术开发与科研、临床诊疗服务。</w:t>
            </w:r>
          </w:p>
        </w:tc>
      </w:tr>
      <w:tr w14:paraId="44424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7CCDB1DD">
            <w:pPr>
              <w:adjustRightInd w:val="0"/>
              <w:snapToGrid w:val="0"/>
              <w:ind w:firstLine="280" w:firstLineChars="100"/>
              <w:jc w:val="both"/>
              <w:rPr>
                <w:rFonts w:hint="eastAsia" w:ascii="楷体_GB2312" w:hAnsi="楷体_GB2312" w:eastAsia="楷体_GB2312" w:cs="楷体_GB2312"/>
                <w:bCs/>
                <w:spacing w:val="6"/>
                <w:szCs w:val="28"/>
                <w:highlight w:val="none"/>
              </w:rPr>
            </w:pPr>
            <w:r>
              <w:rPr>
                <w:rFonts w:hint="eastAsia" w:ascii="楷体_GB2312" w:hAnsi="楷体_GB2312" w:eastAsia="楷体_GB2312" w:cs="楷体_GB2312"/>
                <w:sz w:val="28"/>
                <w:szCs w:val="32"/>
                <w:highlight w:val="none"/>
                <w:lang w:val="en-US"/>
              </w:rPr>
              <w:t>联系人</w:t>
            </w:r>
          </w:p>
        </w:tc>
        <w:tc>
          <w:tcPr>
            <w:tcW w:w="3076" w:type="dxa"/>
            <w:vAlign w:val="center"/>
          </w:tcPr>
          <w:p w14:paraId="4A987747">
            <w:pPr>
              <w:adjustRightInd w:val="0"/>
              <w:snapToGrid w:val="0"/>
              <w:jc w:val="both"/>
              <w:rPr>
                <w:rFonts w:hint="eastAsia" w:ascii="仿宋_GB2312" w:hAnsi="仿宋_GB2312" w:eastAsia="仿宋_GB2312" w:cs="仿宋_GB2312"/>
                <w:bCs/>
                <w:spacing w:val="6"/>
                <w:szCs w:val="28"/>
                <w:highlight w:val="none"/>
                <w:lang w:val="en-US" w:eastAsia="zh-CN"/>
              </w:rPr>
            </w:pPr>
            <w:r>
              <w:rPr>
                <w:rFonts w:hint="eastAsia" w:ascii="仿宋_GB2312" w:hAnsi="仿宋_GB2312" w:eastAsia="仿宋_GB2312" w:cs="仿宋_GB2312"/>
                <w:bCs/>
                <w:spacing w:val="6"/>
                <w:szCs w:val="28"/>
                <w:highlight w:val="none"/>
                <w:lang w:val="en-US" w:eastAsia="zh-CN"/>
              </w:rPr>
              <w:t>李飞</w:t>
            </w:r>
          </w:p>
        </w:tc>
        <w:tc>
          <w:tcPr>
            <w:tcW w:w="1073" w:type="dxa"/>
            <w:vAlign w:val="center"/>
          </w:tcPr>
          <w:p w14:paraId="34422E2F">
            <w:pPr>
              <w:adjustRightInd w:val="0"/>
              <w:spacing w:line="560" w:lineRule="exact"/>
              <w:jc w:val="center"/>
              <w:rPr>
                <w:rFonts w:hint="eastAsia" w:ascii="楷体_GB2312" w:hAnsi="楷体_GB2312" w:eastAsia="楷体_GB2312" w:cs="楷体_GB2312"/>
                <w:sz w:val="28"/>
                <w:szCs w:val="32"/>
                <w:highlight w:val="none"/>
              </w:rPr>
            </w:pPr>
            <w:r>
              <w:rPr>
                <w:rFonts w:hint="eastAsia" w:ascii="楷体_GB2312" w:hAnsi="楷体_GB2312" w:eastAsia="楷体_GB2312" w:cs="楷体_GB2312"/>
                <w:sz w:val="28"/>
                <w:szCs w:val="32"/>
                <w:highlight w:val="none"/>
              </w:rPr>
              <w:t>职务</w:t>
            </w:r>
          </w:p>
        </w:tc>
        <w:tc>
          <w:tcPr>
            <w:tcW w:w="2783" w:type="dxa"/>
            <w:vAlign w:val="center"/>
          </w:tcPr>
          <w:p w14:paraId="361F22DA">
            <w:pPr>
              <w:adjustRightInd w:val="0"/>
              <w:jc w:val="center"/>
              <w:rPr>
                <w:rFonts w:hint="eastAsia" w:eastAsia="方正仿宋简体"/>
                <w:highlight w:val="none"/>
                <w:lang w:val="en-US" w:eastAsia="zh-CN"/>
              </w:rPr>
            </w:pPr>
            <w:r>
              <w:rPr>
                <w:rFonts w:hint="eastAsia" w:eastAsia="方正仿宋简体"/>
                <w:highlight w:val="none"/>
                <w:lang w:val="en-US" w:eastAsia="zh-CN"/>
              </w:rPr>
              <w:t>总经理</w:t>
            </w:r>
          </w:p>
        </w:tc>
      </w:tr>
      <w:tr w14:paraId="19FC8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3712081E">
            <w:pPr>
              <w:adjustRightInd w:val="0"/>
              <w:snapToGrid w:val="0"/>
              <w:jc w:val="center"/>
              <w:rPr>
                <w:rFonts w:hint="eastAsia" w:ascii="楷体_GB2312" w:hAnsi="楷体_GB2312" w:eastAsia="楷体_GB2312" w:cs="楷体_GB2312"/>
                <w:bCs/>
                <w:spacing w:val="6"/>
                <w:szCs w:val="28"/>
                <w:highlight w:val="none"/>
                <w:lang w:val="en-US"/>
              </w:rPr>
            </w:pPr>
            <w:r>
              <w:rPr>
                <w:rFonts w:hint="eastAsia" w:ascii="楷体_GB2312" w:hAnsi="楷体_GB2312" w:eastAsia="楷体_GB2312" w:cs="楷体_GB2312"/>
                <w:sz w:val="28"/>
                <w:szCs w:val="32"/>
                <w:highlight w:val="none"/>
                <w:lang w:val="en-US"/>
              </w:rPr>
              <w:t>联系方式</w:t>
            </w:r>
          </w:p>
        </w:tc>
        <w:tc>
          <w:tcPr>
            <w:tcW w:w="3076" w:type="dxa"/>
            <w:vAlign w:val="center"/>
          </w:tcPr>
          <w:p w14:paraId="69396B72">
            <w:pPr>
              <w:adjustRightInd w:val="0"/>
              <w:snapToGrid w:val="0"/>
              <w:jc w:val="both"/>
              <w:rPr>
                <w:rFonts w:hint="eastAsia" w:ascii="仿宋_GB2312" w:hAnsi="仿宋_GB2312" w:eastAsia="仿宋_GB2312" w:cs="仿宋_GB2312"/>
                <w:bCs/>
                <w:spacing w:val="6"/>
                <w:szCs w:val="28"/>
                <w:highlight w:val="none"/>
                <w:lang w:val="en-US"/>
              </w:rPr>
            </w:pPr>
            <w:r>
              <w:rPr>
                <w:rFonts w:hint="eastAsia" w:ascii="仿宋_GB2312" w:hAnsi="仿宋_GB2312" w:eastAsia="仿宋_GB2312" w:cs="仿宋_GB2312"/>
                <w:bCs/>
                <w:spacing w:val="6"/>
                <w:szCs w:val="28"/>
                <w:highlight w:val="none"/>
                <w:lang w:val="en-US"/>
              </w:rPr>
              <w:t>13811437679</w:t>
            </w:r>
          </w:p>
        </w:tc>
        <w:tc>
          <w:tcPr>
            <w:tcW w:w="1073" w:type="dxa"/>
            <w:vAlign w:val="center"/>
          </w:tcPr>
          <w:p w14:paraId="230A14F5">
            <w:pPr>
              <w:adjustRightInd w:val="0"/>
              <w:spacing w:line="560" w:lineRule="exact"/>
              <w:jc w:val="center"/>
              <w:rPr>
                <w:rFonts w:hint="eastAsia" w:ascii="楷体_GB2312" w:hAnsi="楷体_GB2312" w:eastAsia="楷体_GB2312" w:cs="楷体_GB2312"/>
                <w:sz w:val="28"/>
                <w:szCs w:val="32"/>
                <w:highlight w:val="none"/>
              </w:rPr>
            </w:pPr>
            <w:r>
              <w:rPr>
                <w:rFonts w:hint="eastAsia" w:ascii="楷体_GB2312" w:hAnsi="楷体_GB2312" w:eastAsia="楷体_GB2312" w:cs="楷体_GB2312"/>
                <w:sz w:val="28"/>
                <w:szCs w:val="32"/>
                <w:highlight w:val="none"/>
              </w:rPr>
              <w:t>微信</w:t>
            </w:r>
          </w:p>
        </w:tc>
        <w:tc>
          <w:tcPr>
            <w:tcW w:w="2783" w:type="dxa"/>
            <w:vAlign w:val="center"/>
          </w:tcPr>
          <w:p w14:paraId="08C048D2">
            <w:pPr>
              <w:adjustRightInd w:val="0"/>
              <w:jc w:val="center"/>
              <w:rPr>
                <w:rFonts w:eastAsia="方正仿宋简体"/>
                <w:highlight w:val="none"/>
              </w:rPr>
            </w:pPr>
          </w:p>
        </w:tc>
      </w:tr>
    </w:tbl>
    <w:p w14:paraId="58FD3C41">
      <w:pPr>
        <w:tabs>
          <w:tab w:val="left" w:pos="8640"/>
        </w:tabs>
        <w:adjustRightInd w:val="0"/>
        <w:snapToGrid w:val="0"/>
        <w:spacing w:line="560" w:lineRule="exact"/>
        <w:rPr>
          <w:rFonts w:ascii="方正黑体简体" w:eastAsia="方正黑体简体"/>
          <w:bCs/>
          <w:spacing w:val="6"/>
          <w:sz w:val="32"/>
          <w:szCs w:val="32"/>
        </w:rPr>
      </w:pPr>
      <w:r>
        <w:rPr>
          <w:rFonts w:hint="eastAsia" w:ascii="方正黑体简体" w:eastAsia="方正黑体简体"/>
          <w:bCs/>
          <w:spacing w:val="6"/>
          <w:sz w:val="32"/>
          <w:szCs w:val="32"/>
        </w:rPr>
        <w:t>二、选题说明</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2F089D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1E7D055">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lang w:val="en-US"/>
              </w:rPr>
              <w:t>选题</w:t>
            </w:r>
            <w:r>
              <w:rPr>
                <w:rFonts w:hint="eastAsia" w:ascii="楷体_GB2312" w:hAnsi="楷体_GB2312" w:eastAsia="楷体_GB2312" w:cs="楷体_GB2312"/>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FF6A715">
            <w:pPr>
              <w:adjustRightInd w:val="0"/>
              <w:snapToGrid w:val="0"/>
              <w:ind w:firstLine="504" w:firstLineChars="200"/>
              <w:jc w:val="both"/>
              <w:rPr>
                <w:rFonts w:hint="eastAsia" w:ascii="仿宋_GB2312" w:hAnsi="仿宋_GB2312" w:eastAsia="仿宋_GB2312" w:cs="仿宋_GB2312"/>
                <w:color w:val="000000"/>
              </w:rPr>
            </w:pPr>
            <w:r>
              <w:rPr>
                <w:rFonts w:ascii="仿宋_GB2312" w:hAnsi="仿宋_GB2312" w:eastAsia="仿宋_GB2312" w:cs="仿宋_GB2312"/>
                <w:bCs/>
                <w:color w:val="000000"/>
                <w:spacing w:val="6"/>
                <w:szCs w:val="28"/>
              </w:rPr>
              <w:t>智能化医疗影像解析系统设计</w:t>
            </w:r>
          </w:p>
        </w:tc>
      </w:tr>
      <w:tr w14:paraId="137F73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F75CC38">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FA02E9A">
            <w:pPr>
              <w:adjustRightInd w:val="0"/>
              <w:snapToGrid w:val="0"/>
              <w:ind w:firstLine="504" w:firstLineChars="200"/>
              <w:jc w:val="both"/>
              <w:rPr>
                <w:rFonts w:hint="eastAsia" w:ascii="仿宋_GB2312" w:hAnsi="仿宋_GB2312" w:eastAsia="仿宋_GB2312" w:cs="仿宋_GB2312"/>
                <w:color w:val="000000"/>
              </w:rPr>
            </w:pPr>
            <w:r>
              <w:rPr>
                <w:rFonts w:hint="eastAsia" w:ascii="仿宋_GB2312" w:hAnsi="仿宋_GB2312" w:eastAsia="仿宋_GB2312" w:cs="仿宋_GB2312"/>
                <w:bCs/>
                <w:color w:val="000000"/>
                <w:spacing w:val="6"/>
                <w:szCs w:val="28"/>
                <w:lang w:val="en-US"/>
              </w:rPr>
              <w:t>新一代信息技术、人工智能</w:t>
            </w:r>
          </w:p>
        </w:tc>
      </w:tr>
      <w:tr w14:paraId="401988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11C46B4">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351A7E4">
            <w:pPr>
              <w:ind w:firstLine="480" w:firstLineChars="200"/>
              <w:rPr>
                <w:rFonts w:hint="eastAsia" w:eastAsia="仿宋_GB2312"/>
              </w:rPr>
            </w:pPr>
            <w:r>
              <w:rPr>
                <w:rFonts w:hint="eastAsia" w:eastAsia="仿宋_GB2312"/>
              </w:rPr>
              <w:t>1. 背景：</w:t>
            </w:r>
          </w:p>
          <w:p w14:paraId="0EA29E70">
            <w:pPr>
              <w:ind w:firstLine="480" w:firstLineChars="200"/>
              <w:rPr>
                <w:rFonts w:hint="eastAsia" w:eastAsia="仿宋_GB2312"/>
              </w:rPr>
            </w:pPr>
            <w:r>
              <w:rPr>
                <w:rFonts w:hint="eastAsia" w:eastAsia="仿宋_GB2312"/>
              </w:rPr>
              <w:t>随着医学影像技术的飞速发展（如CT、MRI、超声、X光、病理切片数字化等），影像数据在临床诊断、治疗方案制定、疗效评估及医学研究中扮演着核心角色。然而，海量影像数据的产生与分析对放射科、病理科等医生构成了巨大压力，存在诊断效率受限、主观差异导致误诊/漏诊风险、海量数据深层价值挖掘不足等问题。人工智能技术，特别是深度学习在图像识别、分割、分类等领域取得突破性进展，为医疗影像的智能化、精准化、自动化解析提供了革命性工具。开发高效、精准、可靠的智能化医疗影像解析系统，是响应“健康中国2030”规划、推动医疗数字化转型、提升优质医疗资源可及性的关键举措。</w:t>
            </w:r>
          </w:p>
          <w:p w14:paraId="0FA4EE0B">
            <w:pPr>
              <w:ind w:firstLine="480" w:firstLineChars="200"/>
              <w:rPr>
                <w:rFonts w:hint="eastAsia" w:eastAsia="仿宋_GB2312"/>
              </w:rPr>
            </w:pPr>
            <w:r>
              <w:rPr>
                <w:rFonts w:hint="eastAsia" w:eastAsia="仿宋_GB2312"/>
              </w:rPr>
              <w:t>2. 需求：</w:t>
            </w:r>
          </w:p>
          <w:p w14:paraId="454CD26E">
            <w:pPr>
              <w:ind w:firstLine="480" w:firstLineChars="200"/>
              <w:rPr>
                <w:rFonts w:hint="eastAsia" w:eastAsia="仿宋_GB2312"/>
              </w:rPr>
            </w:pPr>
            <w:r>
              <w:rPr>
                <w:rFonts w:hint="eastAsia" w:eastAsia="仿宋_GB2312"/>
              </w:rPr>
              <w:t>临床诊断需求：实现对特定疾病（如肺结节、乳腺癌、脑卒中、眼底病变、骨折等）影像的自动检测、勾画（分割）、分类（良恶性、分级分期）及辅助诊断报告生成，提高诊断效率与一致性。</w:t>
            </w:r>
          </w:p>
          <w:p w14:paraId="2F31B186">
            <w:pPr>
              <w:ind w:firstLine="480" w:firstLineChars="200"/>
              <w:rPr>
                <w:rFonts w:hint="eastAsia" w:eastAsia="仿宋_GB2312"/>
              </w:rPr>
            </w:pPr>
            <w:r>
              <w:rPr>
                <w:rFonts w:hint="eastAsia" w:eastAsia="仿宋_GB2312"/>
              </w:rPr>
              <w:t>工作流程优化需求：集成到现有医院信息系统（HIS/PACS），实现工作流优化、危急值自动提醒、智能随访对比，减轻医生重复性劳动。</w:t>
            </w:r>
          </w:p>
          <w:p w14:paraId="20741E86">
            <w:pPr>
              <w:ind w:firstLine="480" w:firstLineChars="200"/>
              <w:rPr>
                <w:rFonts w:hint="eastAsia" w:eastAsia="仿宋_GB2312"/>
              </w:rPr>
            </w:pPr>
            <w:r>
              <w:rPr>
                <w:rFonts w:hint="eastAsia" w:eastAsia="仿宋_GB2312"/>
              </w:rPr>
              <w:t>科研与精准医疗需求：能够从影像中提取高通量定量影像组学特征，辅助疾病机制研究、预后预测及个性化治疗策略制定。</w:t>
            </w:r>
          </w:p>
          <w:p w14:paraId="21C3C10A">
            <w:pPr>
              <w:ind w:firstLine="480" w:firstLineChars="200"/>
              <w:rPr>
                <w:rFonts w:hint="eastAsia" w:eastAsia="仿宋_GB2312"/>
              </w:rPr>
            </w:pPr>
            <w:r>
              <w:rPr>
                <w:rFonts w:hint="eastAsia" w:eastAsia="仿宋_GB2312"/>
              </w:rPr>
              <w:t>基层医疗赋能需求：通过云服务或轻量化部署，助力基层医疗机构获得高质量的影像分析能力，促进分级诊疗。</w:t>
            </w:r>
          </w:p>
          <w:p w14:paraId="6DD1659C">
            <w:pPr>
              <w:ind w:firstLine="480" w:firstLineChars="200"/>
              <w:rPr>
                <w:rFonts w:hint="eastAsia" w:eastAsia="仿宋_GB2312"/>
              </w:rPr>
            </w:pPr>
            <w:r>
              <w:rPr>
                <w:rFonts w:hint="eastAsia" w:eastAsia="仿宋_GB2312"/>
              </w:rPr>
              <w:t>系统可靠性要求：必须具备高精度、高鲁棒性，算法需考虑不同设备、协议、人群的差异性，并具备可解释性，辅助医生决策而非完全替代。</w:t>
            </w:r>
          </w:p>
          <w:p w14:paraId="15340EBB">
            <w:pPr>
              <w:ind w:firstLine="480" w:firstLineChars="200"/>
              <w:rPr>
                <w:rFonts w:hint="eastAsia" w:eastAsia="仿宋_GB2312"/>
              </w:rPr>
            </w:pPr>
            <w:r>
              <w:rPr>
                <w:rFonts w:hint="eastAsia" w:eastAsia="仿宋_GB2312"/>
              </w:rPr>
              <w:t>合规与安全要求：需符合国家医疗器械软件相关法规与标准（如NMPA认证导向），确保数据隐私安全（符合《个人信息保护法》等）。</w:t>
            </w:r>
          </w:p>
          <w:p w14:paraId="0925D58F">
            <w:pPr>
              <w:ind w:firstLine="480" w:firstLineChars="200"/>
              <w:rPr>
                <w:rFonts w:hint="eastAsia" w:eastAsia="仿宋_GB2312"/>
              </w:rPr>
            </w:pPr>
            <w:r>
              <w:rPr>
                <w:rFonts w:hint="eastAsia" w:eastAsia="仿宋_GB2312"/>
              </w:rPr>
              <w:t>3. 应用：</w:t>
            </w:r>
          </w:p>
          <w:p w14:paraId="0B7E7637">
            <w:pPr>
              <w:ind w:firstLine="480" w:firstLineChars="200"/>
              <w:rPr>
                <w:rFonts w:hint="eastAsia" w:eastAsia="仿宋_GB2312"/>
              </w:rPr>
            </w:pPr>
            <w:r>
              <w:rPr>
                <w:rFonts w:hint="eastAsia" w:eastAsia="仿宋_GB2312"/>
              </w:rPr>
              <w:t>医院临床科室：放射科、病理科、眼科、神经科、肿瘤科等的日常辅助诊断。</w:t>
            </w:r>
          </w:p>
          <w:p w14:paraId="0D89D65A">
            <w:pPr>
              <w:ind w:firstLine="480" w:firstLineChars="200"/>
              <w:rPr>
                <w:rFonts w:hint="eastAsia" w:eastAsia="仿宋_GB2312"/>
              </w:rPr>
            </w:pPr>
            <w:r>
              <w:rPr>
                <w:rFonts w:hint="eastAsia" w:eastAsia="仿宋_GB2312"/>
              </w:rPr>
              <w:t>体检中心与第三方影像中心：大规模筛查与深度健康检查。</w:t>
            </w:r>
          </w:p>
          <w:p w14:paraId="7BF10146">
            <w:pPr>
              <w:ind w:firstLine="480" w:firstLineChars="200"/>
              <w:rPr>
                <w:rFonts w:hint="eastAsia" w:eastAsia="仿宋_GB2312"/>
              </w:rPr>
            </w:pPr>
            <w:r>
              <w:rPr>
                <w:rFonts w:hint="eastAsia" w:eastAsia="仿宋_GB2312"/>
              </w:rPr>
              <w:t>医学研究机构：用于临床研究、新药试验的影像评估。</w:t>
            </w:r>
          </w:p>
          <w:p w14:paraId="67CADEAD">
            <w:pPr>
              <w:ind w:firstLine="480" w:firstLineChars="200"/>
              <w:rPr>
                <w:rFonts w:hint="eastAsia" w:eastAsia="仿宋_GB2312"/>
              </w:rPr>
            </w:pPr>
            <w:r>
              <w:rPr>
                <w:rFonts w:hint="eastAsia" w:eastAsia="仿宋_GB2312"/>
              </w:rPr>
              <w:t>区域医疗平台/医联体：实现区域内影像诊断同质化与资源共享。</w:t>
            </w:r>
          </w:p>
          <w:p w14:paraId="48BB30DC">
            <w:pPr>
              <w:adjustRightInd w:val="0"/>
              <w:snapToGrid w:val="0"/>
              <w:ind w:firstLine="480" w:firstLineChars="200"/>
              <w:jc w:val="both"/>
              <w:rPr>
                <w:rFonts w:hint="eastAsia" w:ascii="仿宋_GB2312" w:hAnsi="仿宋_GB2312" w:eastAsia="仿宋_GB2312" w:cs="仿宋_GB2312"/>
                <w:bCs/>
                <w:color w:val="000000"/>
                <w:spacing w:val="6"/>
                <w:szCs w:val="28"/>
                <w:lang w:val="en-US"/>
              </w:rPr>
            </w:pPr>
            <w:r>
              <w:rPr>
                <w:rFonts w:hint="eastAsia" w:eastAsia="仿宋_GB2312"/>
              </w:rPr>
              <w:t>公共卫生项目：应用于大规模疾病筛查（如肺癌、乳腺癌筛查）项目。</w:t>
            </w:r>
          </w:p>
        </w:tc>
      </w:tr>
      <w:tr w14:paraId="2869FC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9F49762">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3D7659B">
            <w:pPr>
              <w:pStyle w:val="21"/>
              <w:widowControl w:val="0"/>
              <w:numPr>
                <w:ilvl w:val="0"/>
                <w:numId w:val="4"/>
              </w:numPr>
              <w:spacing w:after="160" w:line="278" w:lineRule="auto"/>
              <w:ind w:firstLineChars="0"/>
              <w:rPr>
                <w:rFonts w:hint="eastAsia" w:eastAsia="仿宋_GB2312"/>
              </w:rPr>
            </w:pPr>
            <w:r>
              <w:rPr>
                <w:rFonts w:hint="eastAsia" w:eastAsia="仿宋_GB2312"/>
              </w:rPr>
              <w:t>方案内容要求：</w:t>
            </w:r>
          </w:p>
          <w:p w14:paraId="3961B916">
            <w:pPr>
              <w:ind w:firstLine="480" w:firstLineChars="200"/>
              <w:rPr>
                <w:rFonts w:hint="eastAsia" w:eastAsia="仿宋_GB2312"/>
              </w:rPr>
            </w:pPr>
            <w:r>
              <w:rPr>
                <w:rFonts w:hint="eastAsia" w:eastAsia="仿宋_GB2312"/>
              </w:rPr>
              <w:t>总体架构设计：包括系统逻辑架构、技术架构、部署架构（如云边端协同）。</w:t>
            </w:r>
          </w:p>
          <w:p w14:paraId="7506494C">
            <w:pPr>
              <w:ind w:firstLine="480" w:firstLineChars="200"/>
              <w:rPr>
                <w:rFonts w:hint="eastAsia" w:eastAsia="仿宋_GB2312"/>
              </w:rPr>
            </w:pPr>
            <w:r>
              <w:rPr>
                <w:rFonts w:hint="eastAsia" w:eastAsia="仿宋_GB2312"/>
              </w:rPr>
              <w:t>核心算法设计：详细阐述针对至少一种特定医学影像模态（如胸部CT、乳腺X线、病理WSI等）和至少一种疾病（如肺结节、乳腺癌微钙化等）的智能化解析算法设计。包括但不限于数据预处理、模型选型与创新（如CNN、Transformer及其变体）、训练策略、后处理等。</w:t>
            </w:r>
          </w:p>
          <w:p w14:paraId="0D36CD51">
            <w:pPr>
              <w:ind w:firstLine="480" w:firstLineChars="200"/>
              <w:rPr>
                <w:rFonts w:hint="eastAsia" w:eastAsia="仿宋_GB2312"/>
              </w:rPr>
            </w:pPr>
            <w:r>
              <w:rPr>
                <w:rFonts w:hint="eastAsia" w:eastAsia="仿宋_GB2312"/>
              </w:rPr>
              <w:t>系统功能设计：至少包含影像上传与管理、智能分析、结果可视化（如病灶定位、分割渲染、特征展示）、结构化报告辅助生成、用户交互界面等模块描述。</w:t>
            </w:r>
          </w:p>
          <w:p w14:paraId="0A6F54B3">
            <w:pPr>
              <w:ind w:firstLine="480" w:firstLineChars="200"/>
              <w:rPr>
                <w:rFonts w:hint="eastAsia" w:eastAsia="仿宋_GB2312"/>
              </w:rPr>
            </w:pPr>
            <w:r>
              <w:rPr>
                <w:rFonts w:hint="eastAsia" w:eastAsia="仿宋_GB2312"/>
              </w:rPr>
              <w:t>性能与验证方案：提出明确的模型性能评价指标（如灵敏度、特异度、Dice系数、AUC等）及验证计划（如交叉验证、外部测试集验证）。</w:t>
            </w:r>
          </w:p>
          <w:p w14:paraId="6C111A50">
            <w:pPr>
              <w:ind w:firstLine="480" w:firstLineChars="200"/>
              <w:rPr>
                <w:rFonts w:hint="eastAsia" w:eastAsia="仿宋_GB2312"/>
              </w:rPr>
            </w:pPr>
            <w:r>
              <w:rPr>
                <w:rFonts w:hint="eastAsia" w:eastAsia="仿宋_GB2312"/>
              </w:rPr>
              <w:t>合规安全设计：说明数据隐私保护、系统安全、算法可解释性及潜在注册认证考虑。</w:t>
            </w:r>
          </w:p>
          <w:p w14:paraId="672B4D3F">
            <w:pPr>
              <w:ind w:firstLine="480" w:firstLineChars="200"/>
              <w:rPr>
                <w:rFonts w:hint="eastAsia" w:eastAsia="仿宋_GB2312"/>
              </w:rPr>
            </w:pPr>
            <w:r>
              <w:rPr>
                <w:rFonts w:hint="eastAsia" w:eastAsia="仿宋_GB2312"/>
              </w:rPr>
              <w:t>原型或可行性证明：鼓励提交关键算法的代码片段、伪代码、流程图，或展示原型系统设计的详细说明。有条件者可提供在公开数据集（如LIDC-IDRI、CBIS-DDSM等）上的初步实验结果。</w:t>
            </w:r>
          </w:p>
          <w:p w14:paraId="033F502B">
            <w:pPr>
              <w:ind w:firstLine="480" w:firstLineChars="200"/>
              <w:rPr>
                <w:rFonts w:hint="eastAsia" w:eastAsia="仿宋_GB2312"/>
              </w:rPr>
            </w:pPr>
            <w:r>
              <w:rPr>
                <w:rFonts w:hint="eastAsia" w:eastAsia="仿宋_GB2312"/>
              </w:rPr>
              <w:t>2. 作品提交形式：</w:t>
            </w:r>
          </w:p>
          <w:p w14:paraId="2EF332C7">
            <w:pPr>
              <w:ind w:firstLine="480" w:firstLineChars="200"/>
              <w:rPr>
                <w:rFonts w:hint="eastAsia" w:eastAsia="仿宋_GB2312"/>
              </w:rPr>
            </w:pPr>
            <w:r>
              <w:rPr>
                <w:rFonts w:hint="eastAsia" w:eastAsia="仿宋_GB2312"/>
              </w:rPr>
              <w:t>主文档：系统设计方案报告（PDF格式），篇幅不少于20页，结构清晰，图文并茂。</w:t>
            </w:r>
          </w:p>
          <w:p w14:paraId="42EFB5C4">
            <w:pPr>
              <w:ind w:firstLine="480" w:firstLineChars="200"/>
              <w:rPr>
                <w:rFonts w:hint="eastAsia" w:eastAsia="仿宋_GB2312"/>
              </w:rPr>
            </w:pPr>
            <w:r>
              <w:rPr>
                <w:rFonts w:hint="eastAsia" w:eastAsia="仿宋_GB2312"/>
              </w:rPr>
              <w:t>附件：可包括演示视频（不超过10分钟）、PPT讲解稿、核心代码文件（如Python脚本）、算法流程图源文件等。</w:t>
            </w:r>
          </w:p>
          <w:p w14:paraId="62C831F6">
            <w:pPr>
              <w:adjustRightInd w:val="0"/>
              <w:snapToGrid w:val="0"/>
              <w:ind w:firstLine="480" w:firstLineChars="200"/>
              <w:rPr>
                <w:rFonts w:hint="eastAsia" w:ascii="仿宋_GB2312" w:hAnsi="仿宋_GB2312" w:eastAsia="仿宋_GB2312" w:cs="仿宋_GB2312"/>
                <w:color w:val="000000"/>
              </w:rPr>
            </w:pPr>
            <w:r>
              <w:rPr>
                <w:rFonts w:hint="eastAsia" w:eastAsia="仿宋_GB2312"/>
              </w:rPr>
              <w:t>知识产权声明：原创性声明及引用标注。</w:t>
            </w:r>
          </w:p>
        </w:tc>
      </w:tr>
      <w:tr w14:paraId="55DA58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12C71A">
            <w:pPr>
              <w:overflowPunct w:val="0"/>
              <w:adjustRightInd w:val="0"/>
              <w:snapToGrid w:val="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作品评审</w:t>
            </w:r>
          </w:p>
          <w:p w14:paraId="4011AE68">
            <w:pPr>
              <w:overflowPunct w:val="0"/>
              <w:adjustRightInd w:val="0"/>
              <w:snapToGrid w:val="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3C1A53">
            <w:pPr>
              <w:overflowPunct w:val="0"/>
              <w:adjustRightInd w:val="0"/>
              <w:snapToGrid w:val="0"/>
              <w:ind w:firstLine="504" w:firstLineChars="200"/>
              <w:rPr>
                <w:rFonts w:hint="eastAsia" w:ascii="仿宋" w:hAnsi="仿宋" w:eastAsia="仿宋"/>
                <w:bCs/>
                <w:spacing w:val="6"/>
                <w:szCs w:val="28"/>
              </w:rPr>
            </w:pPr>
            <w:r>
              <w:rPr>
                <w:rFonts w:hint="eastAsia" w:ascii="仿宋" w:hAnsi="仿宋" w:eastAsia="仿宋"/>
                <w:bCs/>
                <w:spacing w:val="6"/>
                <w:szCs w:val="28"/>
              </w:rPr>
              <w:t>创新性（30%）：算法设计、模型架构或系统集成思路具有显著新颖性，能有效解决现有技术痛点。</w:t>
            </w:r>
          </w:p>
          <w:p w14:paraId="46CAA391">
            <w:pPr>
              <w:overflowPunct w:val="0"/>
              <w:adjustRightInd w:val="0"/>
              <w:snapToGrid w:val="0"/>
              <w:ind w:firstLine="504" w:firstLineChars="200"/>
              <w:rPr>
                <w:rFonts w:hint="eastAsia" w:ascii="仿宋" w:hAnsi="仿宋" w:eastAsia="仿宋"/>
                <w:bCs/>
                <w:spacing w:val="6"/>
                <w:szCs w:val="28"/>
              </w:rPr>
            </w:pPr>
            <w:r>
              <w:rPr>
                <w:rFonts w:hint="eastAsia" w:ascii="仿宋" w:hAnsi="仿宋" w:eastAsia="仿宋"/>
                <w:bCs/>
                <w:spacing w:val="6"/>
                <w:szCs w:val="28"/>
              </w:rPr>
              <w:t>科学性与可行性（25%）：技术路线合理，理论依据充分，方案具备工程实现与临床落地的可行性。</w:t>
            </w:r>
          </w:p>
          <w:p w14:paraId="66F1BB1A">
            <w:pPr>
              <w:overflowPunct w:val="0"/>
              <w:adjustRightInd w:val="0"/>
              <w:snapToGrid w:val="0"/>
              <w:ind w:firstLine="504" w:firstLineChars="200"/>
              <w:rPr>
                <w:rFonts w:hint="eastAsia" w:ascii="仿宋" w:hAnsi="仿宋" w:eastAsia="仿宋"/>
                <w:bCs/>
                <w:spacing w:val="6"/>
                <w:szCs w:val="28"/>
              </w:rPr>
            </w:pPr>
            <w:r>
              <w:rPr>
                <w:rFonts w:hint="eastAsia" w:ascii="仿宋" w:hAnsi="仿宋" w:eastAsia="仿宋"/>
                <w:bCs/>
                <w:spacing w:val="6"/>
                <w:szCs w:val="28"/>
              </w:rPr>
              <w:t>完整性与深度（20%）：方案涵盖背景分析、需求拆解、详细设计、验证计划、安全合规等，对关键问题思考深入。</w:t>
            </w:r>
          </w:p>
          <w:p w14:paraId="62A3D4F2">
            <w:pPr>
              <w:overflowPunct w:val="0"/>
              <w:adjustRightInd w:val="0"/>
              <w:snapToGrid w:val="0"/>
              <w:ind w:firstLine="504" w:firstLineChars="200"/>
              <w:rPr>
                <w:rFonts w:hint="eastAsia" w:ascii="仿宋" w:hAnsi="仿宋" w:eastAsia="仿宋"/>
                <w:bCs/>
                <w:spacing w:val="6"/>
                <w:szCs w:val="28"/>
              </w:rPr>
            </w:pPr>
            <w:r>
              <w:rPr>
                <w:rFonts w:hint="eastAsia" w:ascii="仿宋" w:hAnsi="仿宋" w:eastAsia="仿宋"/>
                <w:bCs/>
                <w:spacing w:val="6"/>
                <w:szCs w:val="28"/>
              </w:rPr>
              <w:t>应用价值与前景（15%）：明确阐述系统的临床应用场景、预期性能指标及社会经济效益，市场前景广阔。</w:t>
            </w:r>
          </w:p>
          <w:p w14:paraId="3D7DCAE0">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 w:hAnsi="仿宋" w:eastAsia="仿宋"/>
                <w:bCs/>
                <w:spacing w:val="6"/>
                <w:szCs w:val="28"/>
              </w:rPr>
              <w:t>表达与呈现（10%）：方案文档逻辑清晰，表述准确，演示材料生动直观。</w:t>
            </w:r>
          </w:p>
        </w:tc>
      </w:tr>
      <w:tr w14:paraId="0F2E0D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45B0AB9">
            <w:pPr>
              <w:overflowPunct w:val="0"/>
              <w:adjustRightInd w:val="0"/>
              <w:snapToGrid w:val="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7A90CA0">
            <w:pPr>
              <w:overflowPunct w:val="0"/>
              <w:adjustRightInd w:val="0"/>
              <w:snapToGrid w:val="0"/>
              <w:ind w:firstLine="480"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color w:val="000000"/>
              </w:rPr>
              <w:t>无。</w:t>
            </w:r>
          </w:p>
        </w:tc>
      </w:tr>
    </w:tbl>
    <w:p w14:paraId="23F03B4F">
      <w:pPr>
        <w:tabs>
          <w:tab w:val="left" w:pos="8640"/>
        </w:tabs>
        <w:adjustRightInd w:val="0"/>
        <w:snapToGrid w:val="0"/>
        <w:spacing w:line="440" w:lineRule="exact"/>
        <w:rPr>
          <w:rFonts w:ascii="方正黑体简体" w:eastAsia="方正黑体简体"/>
          <w:bCs/>
          <w:spacing w:val="6"/>
          <w:sz w:val="32"/>
          <w:szCs w:val="32"/>
        </w:rPr>
      </w:pPr>
      <w:r>
        <w:rPr>
          <w:rFonts w:hint="eastAsia" w:ascii="方正黑体简体" w:eastAsia="方正黑体简体"/>
          <w:bCs/>
          <w:spacing w:val="6"/>
          <w:sz w:val="32"/>
          <w:szCs w:val="32"/>
        </w:rPr>
        <w:t>三、激励保障</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77B376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84E51D0">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lang w:val="en-US"/>
              </w:rPr>
              <w:t>保障</w:t>
            </w:r>
            <w:r>
              <w:rPr>
                <w:rFonts w:hint="eastAsia" w:ascii="楷体_GB2312" w:hAnsi="楷体_GB2312" w:eastAsia="楷体_GB2312" w:cs="楷体_GB2312"/>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074C2A2">
            <w:pPr>
              <w:ind w:firstLine="480" w:firstLineChars="200"/>
              <w:rPr>
                <w:rFonts w:hint="eastAsia" w:eastAsia="仿宋_GB2312"/>
              </w:rPr>
            </w:pPr>
            <w:r>
              <w:rPr>
                <w:rFonts w:hint="eastAsia" w:eastAsia="仿宋_GB2312"/>
              </w:rPr>
              <w:t>技术指导：组织医疗影像AI领域的专家、临床医生提供线上/线下技术咨询与辅导。</w:t>
            </w:r>
          </w:p>
          <w:p w14:paraId="3A5B91DA">
            <w:pPr>
              <w:ind w:firstLine="480" w:firstLineChars="200"/>
              <w:rPr>
                <w:rFonts w:hint="eastAsia" w:eastAsia="仿宋_GB2312"/>
              </w:rPr>
            </w:pPr>
            <w:r>
              <w:rPr>
                <w:rFonts w:hint="eastAsia" w:eastAsia="仿宋_GB2312"/>
              </w:rPr>
              <w:t>成果转化支持：对具有突出创新性和应用潜力的获胜方案，协助对接产业投资、医疗机构进行联合开发或试点应用。</w:t>
            </w:r>
          </w:p>
          <w:p w14:paraId="0E5A9728">
            <w:pPr>
              <w:adjustRightInd w:val="0"/>
              <w:snapToGrid w:val="0"/>
              <w:ind w:firstLine="480" w:firstLineChars="200"/>
              <w:jc w:val="both"/>
              <w:rPr>
                <w:rFonts w:hint="eastAsia" w:ascii="仿宋_GB2312" w:hAnsi="仿宋_GB2312" w:eastAsia="仿宋_GB2312" w:cs="仿宋_GB2312"/>
                <w:bCs/>
                <w:color w:val="000000"/>
                <w:spacing w:val="6"/>
                <w:szCs w:val="28"/>
              </w:rPr>
            </w:pPr>
            <w:r>
              <w:rPr>
                <w:rFonts w:hint="eastAsia" w:eastAsia="仿宋_GB2312"/>
              </w:rPr>
              <w:t>知识产权保护：明确参赛团队对其提交方案的核心知识产权所有权，主办方仅在评审及相关宣传范围内使用。</w:t>
            </w:r>
          </w:p>
        </w:tc>
      </w:tr>
      <w:tr w14:paraId="0A0F14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FBE888B">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9D76FA7">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一、奖项设置</w:t>
            </w:r>
          </w:p>
          <w:p w14:paraId="2DCEB32D">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eastAsia="zh-CN"/>
              </w:rPr>
              <w:t>原则上设“擂主”团队1个，</w:t>
            </w:r>
            <w:r>
              <w:rPr>
                <w:rFonts w:hint="eastAsia" w:ascii="仿宋_GB2312" w:hAnsi="仿宋_GB2312" w:eastAsia="仿宋_GB2312" w:cs="仿宋_GB2312"/>
                <w:bCs/>
                <w:color w:val="000000"/>
                <w:spacing w:val="6"/>
                <w:szCs w:val="28"/>
                <w:lang w:val="en-US"/>
              </w:rPr>
              <w:t>根据实际情况评出相应的特等奖、一等奖、二等奖、三等奖项目若干。</w:t>
            </w:r>
          </w:p>
          <w:p w14:paraId="0A82DB85">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二、 激励措施</w:t>
            </w:r>
          </w:p>
          <w:p w14:paraId="3F0C48D6">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1.其中获得特等奖的团队中选择最优作品作为“擂主”团队，开展后期项目落地及创业实践。</w:t>
            </w:r>
          </w:p>
          <w:p w14:paraId="080E84F3">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2.为部分优秀获奖团队提供线下实习工作机会，并由本单位出具实习证明。</w:t>
            </w:r>
          </w:p>
        </w:tc>
      </w:tr>
    </w:tbl>
    <w:p w14:paraId="4E9A370D">
      <w:pPr>
        <w:tabs>
          <w:tab w:val="left" w:pos="8640"/>
        </w:tabs>
        <w:adjustRightInd w:val="0"/>
        <w:snapToGrid w:val="0"/>
        <w:spacing w:line="560" w:lineRule="exact"/>
        <w:rPr>
          <w:rFonts w:hint="eastAsia" w:ascii="方正黑体简体" w:eastAsia="方正黑体简体"/>
          <w:bCs/>
          <w:spacing w:val="6"/>
          <w:sz w:val="32"/>
          <w:szCs w:val="32"/>
          <w:lang w:val="en-US"/>
        </w:rPr>
      </w:pPr>
    </w:p>
    <w:p w14:paraId="745FDF7F">
      <w:pPr>
        <w:tabs>
          <w:tab w:val="left" w:pos="8640"/>
        </w:tabs>
        <w:adjustRightInd w:val="0"/>
        <w:snapToGrid w:val="0"/>
        <w:spacing w:line="560" w:lineRule="exact"/>
        <w:rPr>
          <w:rFonts w:hint="eastAsia" w:ascii="方正黑体简体" w:eastAsia="方正黑体简体"/>
          <w:bCs/>
          <w:spacing w:val="6"/>
          <w:sz w:val="32"/>
          <w:szCs w:val="32"/>
          <w:lang w:val="en-US"/>
        </w:rPr>
      </w:pPr>
    </w:p>
    <w:p w14:paraId="1D3817A7">
      <w:pPr>
        <w:tabs>
          <w:tab w:val="left" w:pos="8640"/>
        </w:tabs>
        <w:adjustRightInd w:val="0"/>
        <w:snapToGrid w:val="0"/>
        <w:spacing w:line="560" w:lineRule="exact"/>
        <w:rPr>
          <w:rFonts w:ascii="方正黑体简体" w:eastAsia="方正黑体简体"/>
          <w:bCs/>
          <w:spacing w:val="6"/>
          <w:sz w:val="32"/>
          <w:szCs w:val="32"/>
          <w:lang w:val="en-US"/>
        </w:rPr>
      </w:pPr>
      <w:r>
        <w:rPr>
          <w:rFonts w:hint="eastAsia" w:ascii="方正黑体简体" w:eastAsia="方正黑体简体"/>
          <w:bCs/>
          <w:spacing w:val="6"/>
          <w:sz w:val="32"/>
          <w:szCs w:val="32"/>
          <w:lang w:val="en-US"/>
        </w:rPr>
        <w:t>四、选题意义</w:t>
      </w:r>
    </w:p>
    <w:tbl>
      <w:tblPr>
        <w:tblStyle w:val="1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09B693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3A96577E">
            <w:pPr>
              <w:overflowPunct w:val="0"/>
              <w:adjustRightInd w:val="0"/>
              <w:snapToGrid w:val="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6C9522">
            <w:pPr>
              <w:ind w:firstLine="480" w:firstLineChars="200"/>
              <w:rPr>
                <w:rFonts w:hint="eastAsia" w:eastAsia="仿宋_GB2312"/>
              </w:rPr>
            </w:pPr>
            <w:r>
              <w:rPr>
                <w:rFonts w:hint="eastAsia" w:eastAsia="仿宋_GB2312"/>
              </w:rPr>
              <w:t>推动AI与医学交叉创新：促进深度学习、计算机视觉等前沿信息技术与临床医学的深度融合，探索适用于医疗影像复杂场景的新型算法模型。</w:t>
            </w:r>
          </w:p>
          <w:p w14:paraId="69A1F5BE">
            <w:pPr>
              <w:ind w:firstLine="480" w:firstLineChars="200"/>
              <w:rPr>
                <w:rFonts w:hint="eastAsia" w:eastAsia="仿宋_GB2312"/>
              </w:rPr>
            </w:pPr>
            <w:r>
              <w:rPr>
                <w:rFonts w:hint="eastAsia" w:eastAsia="仿宋_GB2312"/>
              </w:rPr>
              <w:t>攻克医学影像分析难题：针对医学影像中的小目标、多尺度、弱对比度、标注数据稀缺等问题，寻求技术突破，提升解析精度与鲁棒性。</w:t>
            </w:r>
          </w:p>
          <w:p w14:paraId="055D634D">
            <w:pPr>
              <w:ind w:firstLine="480" w:firstLineChars="200"/>
              <w:rPr>
                <w:rFonts w:hint="eastAsia" w:eastAsia="仿宋_GB2312"/>
              </w:rPr>
            </w:pPr>
            <w:r>
              <w:rPr>
                <w:rFonts w:hint="eastAsia" w:eastAsia="仿宋_GB2312"/>
              </w:rPr>
              <w:t>构建技术标准与规范雏形：为智能化医疗影像系统的开发流程、测试验证、安全合规提供有益的技术实践参考。</w:t>
            </w:r>
          </w:p>
          <w:p w14:paraId="6869A512">
            <w:pPr>
              <w:overflowPunct w:val="0"/>
              <w:adjustRightInd w:val="0"/>
              <w:snapToGrid w:val="0"/>
              <w:rPr>
                <w:rFonts w:hint="eastAsia" w:ascii="仿宋_GB2312" w:hAnsi="仿宋_GB2312" w:eastAsia="仿宋_GB2312" w:cs="仿宋_GB2312"/>
                <w:bCs/>
                <w:color w:val="000000"/>
                <w:spacing w:val="6"/>
                <w:szCs w:val="28"/>
              </w:rPr>
            </w:pPr>
            <w:r>
              <w:rPr>
                <w:rFonts w:hint="eastAsia" w:eastAsia="仿宋_GB2312"/>
              </w:rPr>
              <w:t>培养复合型人才：通过实战选拔和锻炼一批兼具医学知识、AI技术和工程能力的复合型创新人才。</w:t>
            </w:r>
          </w:p>
        </w:tc>
      </w:tr>
      <w:tr w14:paraId="2BD8F1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44D8DB">
            <w:pPr>
              <w:overflowPunct w:val="0"/>
              <w:adjustRightInd w:val="0"/>
              <w:snapToGrid w:val="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45FA19">
            <w:pPr>
              <w:ind w:firstLine="480" w:firstLineChars="200"/>
              <w:rPr>
                <w:rFonts w:hint="eastAsia" w:eastAsia="仿宋_GB2312"/>
              </w:rPr>
            </w:pPr>
            <w:r>
              <w:rPr>
                <w:rFonts w:hint="eastAsia" w:eastAsia="仿宋_GB2312"/>
              </w:rPr>
              <w:t>经济效益：</w:t>
            </w:r>
          </w:p>
          <w:p w14:paraId="29986D52">
            <w:pPr>
              <w:ind w:firstLine="480" w:firstLineChars="200"/>
              <w:rPr>
                <w:rFonts w:hint="eastAsia" w:eastAsia="仿宋_GB2312"/>
              </w:rPr>
            </w:pPr>
            <w:r>
              <w:rPr>
                <w:rFonts w:hint="eastAsia" w:eastAsia="仿宋_GB2312"/>
              </w:rPr>
              <w:t>提升医疗效率：缩短影像诊断时间，降低人力成本，优化资源配置。</w:t>
            </w:r>
          </w:p>
          <w:p w14:paraId="57A6AD44">
            <w:pPr>
              <w:ind w:firstLine="480" w:firstLineChars="200"/>
              <w:rPr>
                <w:rFonts w:hint="eastAsia" w:eastAsia="仿宋_GB2312"/>
              </w:rPr>
            </w:pPr>
            <w:r>
              <w:rPr>
                <w:rFonts w:hint="eastAsia" w:eastAsia="仿宋_GB2312"/>
              </w:rPr>
              <w:t>创造产业价值：催生高端医疗AI软件产业，带动从算法研发、系统集成到服务运营的产业链发展。</w:t>
            </w:r>
          </w:p>
          <w:p w14:paraId="3051F8AC">
            <w:pPr>
              <w:ind w:firstLine="480" w:firstLineChars="200"/>
              <w:rPr>
                <w:rFonts w:hint="eastAsia" w:eastAsia="仿宋_GB2312"/>
              </w:rPr>
            </w:pPr>
            <w:r>
              <w:rPr>
                <w:rFonts w:hint="eastAsia" w:eastAsia="仿宋_GB2312"/>
              </w:rPr>
              <w:t>降低医疗支出：通过早筛、早诊和精准治疗，减少患者后期治疗费用和医保支出。</w:t>
            </w:r>
          </w:p>
          <w:p w14:paraId="53BDB8B2">
            <w:pPr>
              <w:ind w:firstLine="480" w:firstLineChars="200"/>
              <w:rPr>
                <w:rFonts w:hint="eastAsia" w:eastAsia="仿宋_GB2312"/>
              </w:rPr>
            </w:pPr>
            <w:r>
              <w:rPr>
                <w:rFonts w:hint="eastAsia" w:eastAsia="仿宋_GB2312"/>
              </w:rPr>
              <w:t>社会效益：</w:t>
            </w:r>
          </w:p>
          <w:p w14:paraId="3063792E">
            <w:pPr>
              <w:ind w:firstLine="480" w:firstLineChars="200"/>
              <w:rPr>
                <w:rFonts w:hint="eastAsia" w:eastAsia="仿宋_GB2312"/>
              </w:rPr>
            </w:pPr>
            <w:r>
              <w:rPr>
                <w:rFonts w:hint="eastAsia" w:eastAsia="仿宋_GB2312"/>
              </w:rPr>
              <w:t>提升诊断水平：减少漏诊误诊，提高医疗服务质量和均质化水平，惠及更广大患者，尤其是基层群众。</w:t>
            </w:r>
          </w:p>
          <w:p w14:paraId="732C9E7E">
            <w:pPr>
              <w:ind w:firstLine="480" w:firstLineChars="200"/>
              <w:rPr>
                <w:rFonts w:hint="eastAsia" w:eastAsia="仿宋_GB2312"/>
              </w:rPr>
            </w:pPr>
            <w:r>
              <w:rPr>
                <w:rFonts w:hint="eastAsia" w:eastAsia="仿宋_GB2312"/>
              </w:rPr>
              <w:t>助力健康中国：支持重大疾病防治关口前移，提升全民健康水平。</w:t>
            </w:r>
          </w:p>
          <w:p w14:paraId="2203B5BA">
            <w:pPr>
              <w:overflowPunct w:val="0"/>
              <w:adjustRightInd w:val="0"/>
              <w:snapToGrid w:val="0"/>
              <w:ind w:firstLine="480" w:firstLineChars="200"/>
              <w:rPr>
                <w:rFonts w:hint="eastAsia" w:ascii="仿宋_GB2312" w:hAnsi="仿宋_GB2312" w:eastAsia="仿宋_GB2312" w:cs="仿宋_GB2312"/>
                <w:bCs/>
                <w:color w:val="000000"/>
                <w:spacing w:val="6"/>
                <w:szCs w:val="28"/>
              </w:rPr>
            </w:pPr>
            <w:r>
              <w:rPr>
                <w:rFonts w:hint="eastAsia" w:eastAsia="仿宋_GB2312"/>
              </w:rPr>
              <w:t>促进科技进步：产出具有自主知识产权的核心技术，提升我国在智慧医疗领域的国际竞争力。</w:t>
            </w:r>
          </w:p>
        </w:tc>
      </w:tr>
    </w:tbl>
    <w:p w14:paraId="026E194E">
      <w:pPr>
        <w:rPr>
          <w:rFonts w:hint="eastAsia" w:ascii="楷体_GB2312" w:hAnsi="楷体_GB2312" w:eastAsia="楷体_GB2312" w:cs="楷体_GB2312"/>
        </w:rPr>
      </w:pPr>
      <w:r>
        <w:rPr>
          <w:rFonts w:hint="eastAsia" w:ascii="楷体_GB2312" w:hAnsi="楷体_GB2312" w:eastAsia="楷体_GB2312" w:cs="楷体_GB2312"/>
        </w:rPr>
        <w:br w:type="page"/>
      </w:r>
    </w:p>
    <w:p w14:paraId="2959587E">
      <w:pPr>
        <w:rPr>
          <w:rFonts w:hint="eastAsia" w:ascii="楷体_GB2312" w:hAnsi="楷体_GB2312" w:eastAsia="楷体_GB2312" w:cs="楷体_GB2312"/>
        </w:rPr>
      </w:pPr>
    </w:p>
    <w:p w14:paraId="31CB7C69">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“青智未来”新质生产力</w:t>
      </w:r>
      <w:r>
        <w:rPr>
          <w:rFonts w:hint="default" w:ascii="Times New Roman" w:hAnsi="Times New Roman" w:eastAsia="方正小标宋简体" w:cs="Times New Roman"/>
          <w:b w:val="0"/>
          <w:bCs/>
          <w:kern w:val="2"/>
          <w:sz w:val="44"/>
          <w:szCs w:val="32"/>
          <w:highlight w:val="none"/>
          <w:lang w:val="en-US" w:eastAsia="zh-CN"/>
        </w:rPr>
        <w:t>专项赛</w:t>
      </w:r>
    </w:p>
    <w:p w14:paraId="4DC77797">
      <w:pPr>
        <w:keepNext w:val="0"/>
        <w:keepLines w:val="0"/>
        <w:pageBreakBefore w:val="0"/>
        <w:widowControl w:val="0"/>
        <w:tabs>
          <w:tab w:val="left" w:pos="8640"/>
        </w:tabs>
        <w:kinsoku/>
        <w:wordWrap w:val="0"/>
        <w:topLinePunct w:val="0"/>
        <w:autoSpaceDE/>
        <w:autoSpaceDN/>
        <w:bidi w:val="0"/>
        <w:adjustRightInd w:val="0"/>
        <w:snapToGrid w:val="0"/>
        <w:spacing w:line="560" w:lineRule="exact"/>
        <w:jc w:val="center"/>
        <w:rPr>
          <w:rFonts w:hint="default" w:ascii="Times New Roman" w:hAnsi="Times New Roman" w:eastAsia="方正小标宋简体" w:cs="Times New Roman"/>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w:t>
      </w:r>
      <w:r>
        <w:rPr>
          <w:rFonts w:hint="eastAsia" w:eastAsia="方正小标宋简体" w:cs="方正小标宋简体"/>
          <w:b w:val="0"/>
          <w:bCs/>
          <w:kern w:val="2"/>
          <w:sz w:val="44"/>
          <w:szCs w:val="32"/>
          <w:highlight w:val="none"/>
          <w:lang w:val="en-US" w:eastAsia="zh-CN"/>
        </w:rPr>
        <w:t>18</w:t>
      </w:r>
    </w:p>
    <w:p w14:paraId="1A2E3CB0">
      <w:pPr>
        <w:keepNext w:val="0"/>
        <w:keepLines w:val="0"/>
        <w:pageBreakBefore w:val="0"/>
        <w:widowControl w:val="0"/>
        <w:tabs>
          <w:tab w:val="left" w:pos="8640"/>
        </w:tabs>
        <w:kinsoku/>
        <w:wordWrap w:val="0"/>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b w:val="0"/>
          <w:bCs/>
          <w:kern w:val="2"/>
          <w:sz w:val="32"/>
          <w:szCs w:val="22"/>
          <w:highlight w:val="none"/>
          <w:lang w:val="en-US" w:eastAsia="zh-CN"/>
        </w:rPr>
      </w:pPr>
    </w:p>
    <w:p w14:paraId="3789613C">
      <w:pPr>
        <w:tabs>
          <w:tab w:val="left" w:pos="8640"/>
        </w:tabs>
        <w:adjustRightInd w:val="0"/>
        <w:snapToGrid w:val="0"/>
        <w:spacing w:line="560" w:lineRule="exact"/>
        <w:rPr>
          <w:rFonts w:ascii="方正楷体简体" w:hAnsi="方正楷体简体" w:eastAsia="方正楷体简体" w:cs="方正楷体简体"/>
          <w:bCs/>
          <w:spacing w:val="6"/>
        </w:rPr>
      </w:pPr>
      <w:r>
        <w:rPr>
          <w:rFonts w:hint="eastAsia" w:ascii="方正黑体简体" w:eastAsia="方正黑体简体"/>
          <w:bCs/>
          <w:spacing w:val="6"/>
          <w:sz w:val="32"/>
          <w:szCs w:val="32"/>
        </w:rPr>
        <w:t>一、单位信息</w:t>
      </w:r>
    </w:p>
    <w:tbl>
      <w:tblPr>
        <w:tblStyle w:val="11"/>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3189"/>
        <w:gridCol w:w="1073"/>
        <w:gridCol w:w="2783"/>
      </w:tblGrid>
      <w:tr w14:paraId="20949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555" w:type="dxa"/>
            <w:vAlign w:val="center"/>
          </w:tcPr>
          <w:p w14:paraId="7E8FC070">
            <w:pPr>
              <w:adjustRightInd w:val="0"/>
              <w:spacing w:line="560" w:lineRule="exact"/>
              <w:jc w:val="center"/>
              <w:rPr>
                <w:rFonts w:ascii="楷体_GB2312" w:hAnsi="楷体_GB2312" w:eastAsia="楷体_GB2312" w:cs="楷体_GB2312"/>
                <w:sz w:val="28"/>
                <w:szCs w:val="32"/>
              </w:rPr>
            </w:pPr>
            <w:r>
              <w:rPr>
                <w:rFonts w:hint="eastAsia" w:ascii="楷体_GB2312" w:hAnsi="楷体_GB2312" w:eastAsia="楷体_GB2312" w:cs="楷体_GB2312"/>
                <w:sz w:val="28"/>
                <w:szCs w:val="32"/>
              </w:rPr>
              <w:t>单位名称</w:t>
            </w:r>
          </w:p>
        </w:tc>
        <w:tc>
          <w:tcPr>
            <w:tcW w:w="7045" w:type="dxa"/>
            <w:gridSpan w:val="3"/>
            <w:vAlign w:val="center"/>
          </w:tcPr>
          <w:p w14:paraId="1EC3E2C7">
            <w:pPr>
              <w:adjustRightInd w:val="0"/>
              <w:snapToGrid w:val="0"/>
              <w:ind w:firstLine="480"/>
              <w:jc w:val="center"/>
              <w:rPr>
                <w:rFonts w:ascii="仿宋_GB2312" w:hAnsi="仿宋_GB2312" w:eastAsia="仿宋_GB2312" w:cs="仿宋_GB2312"/>
              </w:rPr>
            </w:pPr>
            <w:r>
              <w:rPr>
                <w:rFonts w:eastAsia="仿宋_GB2312"/>
                <w:color w:val="000000"/>
              </w:rPr>
              <w:t>北京洛必德科技有限公司</w:t>
            </w:r>
          </w:p>
        </w:tc>
      </w:tr>
      <w:tr w14:paraId="6D7B6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555" w:type="dxa"/>
            <w:vAlign w:val="center"/>
          </w:tcPr>
          <w:p w14:paraId="07354DF0">
            <w:pPr>
              <w:adjustRightInd w:val="0"/>
              <w:snapToGrid w:val="0"/>
              <w:jc w:val="center"/>
              <w:rPr>
                <w:rFonts w:ascii="楷体_GB2312" w:hAnsi="楷体_GB2312" w:eastAsia="楷体_GB2312" w:cs="楷体_GB2312"/>
                <w:bCs/>
                <w:spacing w:val="6"/>
                <w:szCs w:val="28"/>
                <w:lang w:val="en-US"/>
              </w:rPr>
            </w:pPr>
            <w:r>
              <w:rPr>
                <w:rFonts w:hint="eastAsia" w:ascii="楷体_GB2312" w:hAnsi="楷体_GB2312" w:eastAsia="楷体_GB2312" w:cs="楷体_GB2312"/>
                <w:sz w:val="28"/>
                <w:szCs w:val="32"/>
                <w:lang w:val="en-US"/>
              </w:rPr>
              <w:t>单位类型</w:t>
            </w:r>
          </w:p>
        </w:tc>
        <w:tc>
          <w:tcPr>
            <w:tcW w:w="7045" w:type="dxa"/>
            <w:gridSpan w:val="3"/>
            <w:vAlign w:val="center"/>
          </w:tcPr>
          <w:p w14:paraId="73945275">
            <w:pPr>
              <w:adjustRightInd w:val="0"/>
              <w:snapToGrid w:val="0"/>
              <w:jc w:val="center"/>
              <w:rPr>
                <w:rFonts w:ascii="仿宋_GB2312" w:hAnsi="仿宋_GB2312" w:eastAsia="仿宋_GB2312" w:cs="仿宋_GB2312"/>
                <w:bCs/>
                <w:spacing w:val="6"/>
                <w:szCs w:val="28"/>
                <w:lang w:val="en-US"/>
              </w:rPr>
            </w:pPr>
            <w:r>
              <w:rPr>
                <w:rFonts w:eastAsia="仿宋_GB2312"/>
                <w:bCs/>
                <w:spacing w:val="6"/>
                <w:szCs w:val="28"/>
                <w:lang w:val="en-US"/>
              </w:rPr>
              <w:t>私营企业</w:t>
            </w:r>
          </w:p>
        </w:tc>
      </w:tr>
      <w:tr w14:paraId="0E609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55" w:type="dxa"/>
            <w:vAlign w:val="center"/>
          </w:tcPr>
          <w:p w14:paraId="766F17D1">
            <w:pPr>
              <w:adjustRightInd w:val="0"/>
              <w:spacing w:line="560" w:lineRule="exact"/>
              <w:jc w:val="center"/>
              <w:rPr>
                <w:rFonts w:ascii="楷体_GB2312" w:hAnsi="楷体_GB2312" w:eastAsia="楷体_GB2312" w:cs="楷体_GB2312"/>
                <w:sz w:val="28"/>
                <w:szCs w:val="32"/>
              </w:rPr>
            </w:pPr>
            <w:r>
              <w:rPr>
                <w:rFonts w:hint="eastAsia" w:ascii="楷体_GB2312" w:hAnsi="楷体_GB2312" w:eastAsia="楷体_GB2312" w:cs="楷体_GB2312"/>
                <w:sz w:val="28"/>
                <w:szCs w:val="32"/>
              </w:rPr>
              <w:t>地址</w:t>
            </w:r>
          </w:p>
        </w:tc>
        <w:tc>
          <w:tcPr>
            <w:tcW w:w="7045" w:type="dxa"/>
            <w:gridSpan w:val="3"/>
            <w:vAlign w:val="center"/>
          </w:tcPr>
          <w:p w14:paraId="7F2B5925">
            <w:pPr>
              <w:adjustRightInd w:val="0"/>
              <w:ind w:firstLine="480"/>
              <w:jc w:val="center"/>
              <w:rPr>
                <w:rFonts w:ascii="仿宋_GB2312" w:hAnsi="仿宋_GB2312" w:eastAsia="仿宋_GB2312" w:cs="仿宋_GB2312"/>
              </w:rPr>
            </w:pPr>
            <w:r>
              <w:rPr>
                <w:rFonts w:eastAsia="仿宋_GB2312"/>
              </w:rPr>
              <w:t>北京市海淀区知春路6号</w:t>
            </w:r>
            <w:r>
              <w:rPr>
                <w:rFonts w:hint="eastAsia" w:eastAsia="仿宋_GB2312"/>
                <w:lang w:eastAsia="zh-CN"/>
              </w:rPr>
              <w:t>（</w:t>
            </w:r>
            <w:r>
              <w:rPr>
                <w:rFonts w:eastAsia="仿宋_GB2312"/>
              </w:rPr>
              <w:t>锦秋国际大厦</w:t>
            </w:r>
            <w:r>
              <w:rPr>
                <w:rFonts w:hint="eastAsia" w:eastAsia="仿宋_GB2312"/>
                <w:lang w:eastAsia="zh-CN"/>
              </w:rPr>
              <w:t>）</w:t>
            </w:r>
            <w:r>
              <w:rPr>
                <w:rFonts w:eastAsia="仿宋_GB2312"/>
              </w:rPr>
              <w:t>20层A06-1</w:t>
            </w:r>
          </w:p>
        </w:tc>
      </w:tr>
      <w:tr w14:paraId="7D1AC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555" w:type="dxa"/>
            <w:vAlign w:val="center"/>
          </w:tcPr>
          <w:p w14:paraId="4D821DE6">
            <w:pPr>
              <w:adjustRightInd w:val="0"/>
              <w:spacing w:line="560" w:lineRule="exact"/>
              <w:jc w:val="center"/>
              <w:rPr>
                <w:rFonts w:ascii="楷体_GB2312" w:hAnsi="楷体_GB2312" w:eastAsia="楷体_GB2312" w:cs="楷体_GB2312"/>
                <w:sz w:val="28"/>
                <w:szCs w:val="32"/>
              </w:rPr>
            </w:pPr>
            <w:r>
              <w:rPr>
                <w:rFonts w:hint="eastAsia" w:ascii="楷体_GB2312" w:hAnsi="楷体_GB2312" w:eastAsia="楷体_GB2312" w:cs="楷体_GB2312"/>
                <w:sz w:val="28"/>
                <w:szCs w:val="32"/>
                <w:lang w:val="en-US"/>
              </w:rPr>
              <w:t>单位</w:t>
            </w:r>
            <w:r>
              <w:rPr>
                <w:rFonts w:hint="eastAsia" w:ascii="楷体_GB2312" w:hAnsi="楷体_GB2312" w:eastAsia="楷体_GB2312" w:cs="楷体_GB2312"/>
                <w:sz w:val="28"/>
                <w:szCs w:val="32"/>
              </w:rPr>
              <w:t>简介</w:t>
            </w:r>
          </w:p>
        </w:tc>
        <w:tc>
          <w:tcPr>
            <w:tcW w:w="7045" w:type="dxa"/>
            <w:gridSpan w:val="3"/>
            <w:vAlign w:val="center"/>
          </w:tcPr>
          <w:p w14:paraId="63A5E993">
            <w:pPr>
              <w:adjustRightInd w:val="0"/>
              <w:snapToGrid w:val="0"/>
              <w:ind w:firstLine="504" w:firstLineChars="200"/>
              <w:jc w:val="both"/>
              <w:rPr>
                <w:rFonts w:eastAsia="仿宋_GB2312"/>
                <w:bCs/>
                <w:spacing w:val="6"/>
                <w:szCs w:val="28"/>
                <w:lang w:val="en-US"/>
              </w:rPr>
            </w:pPr>
            <w:r>
              <w:rPr>
                <w:rFonts w:hint="eastAsia" w:eastAsia="仿宋_GB2312"/>
                <w:bCs/>
                <w:spacing w:val="6"/>
                <w:szCs w:val="28"/>
                <w:lang w:val="en-US"/>
              </w:rPr>
              <w:t>北京洛必德科技有限公司（以下简称公司），成立于</w:t>
            </w:r>
            <w:r>
              <w:rPr>
                <w:rFonts w:eastAsia="仿宋_GB2312"/>
                <w:bCs/>
                <w:spacing w:val="6"/>
                <w:szCs w:val="28"/>
                <w:lang w:val="en-US"/>
              </w:rPr>
              <w:t>2018</w:t>
            </w:r>
            <w:r>
              <w:rPr>
                <w:rFonts w:hint="eastAsia" w:eastAsia="仿宋_GB2312"/>
                <w:bCs/>
                <w:spacing w:val="6"/>
                <w:szCs w:val="28"/>
                <w:lang w:val="en-US"/>
              </w:rPr>
              <w:t>年，位于北京市，是一家以从事科技推广和应用服务业为主的企业。企业注册资本</w:t>
            </w:r>
            <w:r>
              <w:rPr>
                <w:rFonts w:eastAsia="仿宋_GB2312"/>
                <w:bCs/>
                <w:spacing w:val="6"/>
                <w:szCs w:val="28"/>
                <w:lang w:val="en-US"/>
              </w:rPr>
              <w:t>1655.196822</w:t>
            </w:r>
            <w:r>
              <w:rPr>
                <w:rFonts w:hint="eastAsia" w:eastAsia="仿宋_GB2312"/>
                <w:bCs/>
                <w:spacing w:val="6"/>
                <w:szCs w:val="28"/>
                <w:lang w:val="en-US"/>
              </w:rPr>
              <w:t>万人民币，实缴资本</w:t>
            </w:r>
            <w:r>
              <w:rPr>
                <w:rFonts w:eastAsia="仿宋_GB2312"/>
                <w:bCs/>
                <w:spacing w:val="6"/>
                <w:szCs w:val="28"/>
                <w:lang w:val="en-US"/>
              </w:rPr>
              <w:t>1344.57821</w:t>
            </w:r>
            <w:r>
              <w:rPr>
                <w:rFonts w:hint="eastAsia" w:eastAsia="仿宋_GB2312"/>
                <w:bCs/>
                <w:spacing w:val="6"/>
                <w:szCs w:val="28"/>
                <w:lang w:val="en-US"/>
              </w:rPr>
              <w:t>万人民币，并已于</w:t>
            </w:r>
            <w:r>
              <w:rPr>
                <w:rFonts w:eastAsia="仿宋_GB2312"/>
                <w:bCs/>
                <w:spacing w:val="6"/>
                <w:szCs w:val="28"/>
                <w:lang w:val="en-US"/>
              </w:rPr>
              <w:t>2024</w:t>
            </w:r>
            <w:r>
              <w:rPr>
                <w:rFonts w:hint="eastAsia" w:eastAsia="仿宋_GB2312"/>
                <w:bCs/>
                <w:spacing w:val="6"/>
                <w:szCs w:val="28"/>
                <w:lang w:val="en-US"/>
              </w:rPr>
              <w:t>年完成了</w:t>
            </w:r>
            <w:r>
              <w:rPr>
                <w:rFonts w:eastAsia="仿宋_GB2312"/>
                <w:bCs/>
                <w:spacing w:val="6"/>
                <w:szCs w:val="28"/>
                <w:lang w:val="en-US"/>
              </w:rPr>
              <w:t>B+</w:t>
            </w:r>
            <w:r>
              <w:rPr>
                <w:rFonts w:hint="eastAsia" w:eastAsia="仿宋_GB2312"/>
                <w:bCs/>
                <w:spacing w:val="6"/>
                <w:szCs w:val="28"/>
                <w:lang w:val="en-US"/>
              </w:rPr>
              <w:t>轮。</w:t>
            </w:r>
            <w:r>
              <w:rPr>
                <w:rFonts w:eastAsia="仿宋_GB2312"/>
                <w:bCs/>
                <w:spacing w:val="6"/>
                <w:szCs w:val="28"/>
                <w:lang w:val="en-US"/>
              </w:rPr>
              <w:t>2024</w:t>
            </w:r>
            <w:r>
              <w:rPr>
                <w:rFonts w:hint="eastAsia" w:eastAsia="仿宋_GB2312"/>
                <w:bCs/>
                <w:spacing w:val="6"/>
                <w:szCs w:val="28"/>
                <w:lang w:val="en-US"/>
              </w:rPr>
              <w:t>年获评国家级专精特新企业。公司是一家专注于人工智能机器人及自动驾驶领域的国家高新技术企业和国家级专精特新“小巨人”企业。</w:t>
            </w:r>
          </w:p>
          <w:p w14:paraId="5CBE0AAC">
            <w:pPr>
              <w:adjustRightInd w:val="0"/>
              <w:snapToGrid w:val="0"/>
              <w:ind w:firstLine="504" w:firstLineChars="200"/>
              <w:jc w:val="both"/>
              <w:rPr>
                <w:rFonts w:eastAsia="仿宋_GB2312"/>
                <w:bCs/>
                <w:spacing w:val="6"/>
                <w:szCs w:val="28"/>
                <w:lang w:val="en-US"/>
              </w:rPr>
            </w:pPr>
            <w:r>
              <w:rPr>
                <w:rFonts w:hint="eastAsia" w:eastAsia="仿宋_GB2312"/>
                <w:bCs/>
                <w:spacing w:val="6"/>
                <w:szCs w:val="28"/>
                <w:lang w:val="en-US"/>
              </w:rPr>
              <w:t>公司依托国内外知名高校包括北京航空航天大学、美国加州大学、美国加州州立理工大学等强大的教授、博士研发团队，在精准感知、智能识别、类人认知、</w:t>
            </w:r>
            <w:r>
              <w:rPr>
                <w:rFonts w:eastAsia="仿宋_GB2312"/>
                <w:bCs/>
                <w:spacing w:val="6"/>
                <w:szCs w:val="28"/>
                <w:lang w:val="en-US"/>
              </w:rPr>
              <w:t xml:space="preserve"> </w:t>
            </w:r>
            <w:r>
              <w:rPr>
                <w:rFonts w:hint="eastAsia" w:eastAsia="仿宋_GB2312"/>
                <w:bCs/>
                <w:spacing w:val="6"/>
                <w:szCs w:val="28"/>
                <w:lang w:val="en-US"/>
              </w:rPr>
              <w:t>协同决策及高精度建图和运动控制方面构筑了强大的自主核心专利技术体系，并成功应用于智能机器人、自动驾驶、智慧城市及智慧环境等人工智能行业。</w:t>
            </w:r>
          </w:p>
          <w:p w14:paraId="5333B7A5">
            <w:pPr>
              <w:adjustRightInd w:val="0"/>
              <w:snapToGrid w:val="0"/>
              <w:ind w:firstLine="504" w:firstLineChars="200"/>
              <w:jc w:val="both"/>
              <w:rPr>
                <w:rFonts w:ascii="仿宋_GB2312" w:hAnsi="仿宋_GB2312" w:eastAsia="仿宋_GB2312" w:cs="仿宋_GB2312"/>
                <w:bCs/>
                <w:spacing w:val="6"/>
                <w:szCs w:val="28"/>
              </w:rPr>
            </w:pPr>
            <w:r>
              <w:rPr>
                <w:rFonts w:hint="eastAsia" w:eastAsia="仿宋_GB2312"/>
                <w:bCs/>
                <w:spacing w:val="6"/>
                <w:szCs w:val="28"/>
                <w:lang w:val="en-US"/>
              </w:rPr>
              <w:t>公司立足自主研发，形成了可以覆盖室内和室外、送物和载人、平面和立体的全场景产品矩阵，推出了包括养老服务、接待引导、物品配送、清洁消毒等</w:t>
            </w:r>
            <w:r>
              <w:rPr>
                <w:rFonts w:eastAsia="仿宋_GB2312"/>
                <w:bCs/>
                <w:spacing w:val="6"/>
                <w:szCs w:val="28"/>
                <w:lang w:val="en-US"/>
              </w:rPr>
              <w:t>12</w:t>
            </w:r>
            <w:r>
              <w:rPr>
                <w:rFonts w:hint="eastAsia" w:eastAsia="仿宋_GB2312"/>
                <w:bCs/>
                <w:spacing w:val="6"/>
                <w:szCs w:val="28"/>
                <w:lang w:val="en-US"/>
              </w:rPr>
              <w:t>个系列的产品，是业内少数能够围绕商业、政务和家庭等各类客户的经营动线，提供全场景智能升级解决方案的企业。公司的机器人产品已经通过</w:t>
            </w:r>
            <w:r>
              <w:rPr>
                <w:rFonts w:eastAsia="仿宋_GB2312"/>
                <w:bCs/>
                <w:spacing w:val="6"/>
                <w:szCs w:val="28"/>
                <w:lang w:val="en-US"/>
              </w:rPr>
              <w:t>40</w:t>
            </w:r>
            <w:r>
              <w:rPr>
                <w:rFonts w:hint="eastAsia" w:eastAsia="仿宋_GB2312"/>
                <w:bCs/>
                <w:spacing w:val="6"/>
                <w:szCs w:val="28"/>
                <w:lang w:val="en-US"/>
              </w:rPr>
              <w:t>余个国家和地区的准入认证，覆盖中国、欧美、日韩等主流市场，截至目前，公司产品已覆盖了国内外</w:t>
            </w:r>
            <w:r>
              <w:rPr>
                <w:rFonts w:eastAsia="仿宋_GB2312"/>
                <w:bCs/>
                <w:spacing w:val="6"/>
                <w:szCs w:val="28"/>
                <w:lang w:val="en-US"/>
              </w:rPr>
              <w:t>3000</w:t>
            </w:r>
            <w:r>
              <w:rPr>
                <w:rFonts w:hint="eastAsia" w:eastAsia="仿宋_GB2312"/>
                <w:bCs/>
                <w:spacing w:val="6"/>
                <w:szCs w:val="28"/>
                <w:lang w:val="en-US"/>
              </w:rPr>
              <w:t>多家酒店、</w:t>
            </w:r>
            <w:r>
              <w:rPr>
                <w:rFonts w:eastAsia="仿宋_GB2312"/>
                <w:bCs/>
                <w:spacing w:val="6"/>
                <w:szCs w:val="28"/>
                <w:lang w:val="en-US"/>
              </w:rPr>
              <w:t>600</w:t>
            </w:r>
            <w:r>
              <w:rPr>
                <w:rFonts w:hint="eastAsia" w:eastAsia="仿宋_GB2312"/>
                <w:bCs/>
                <w:spacing w:val="6"/>
                <w:szCs w:val="28"/>
                <w:lang w:val="en-US"/>
              </w:rPr>
              <w:t>多家医疗机构，并已全面进入海外市场，实现机器人落地超</w:t>
            </w:r>
            <w:r>
              <w:rPr>
                <w:rFonts w:eastAsia="仿宋_GB2312"/>
                <w:bCs/>
                <w:spacing w:val="6"/>
                <w:szCs w:val="28"/>
                <w:lang w:val="en-US"/>
              </w:rPr>
              <w:t>10000</w:t>
            </w:r>
            <w:r>
              <w:rPr>
                <w:rFonts w:hint="eastAsia" w:eastAsia="仿宋_GB2312"/>
                <w:bCs/>
                <w:spacing w:val="6"/>
                <w:szCs w:val="28"/>
                <w:lang w:val="en-US"/>
              </w:rPr>
              <w:t>台，积累了多场景的运营经验</w:t>
            </w:r>
            <w:r>
              <w:rPr>
                <w:rFonts w:hint="eastAsia" w:eastAsia="仿宋_GB2312"/>
                <w:bCs/>
                <w:spacing w:val="6"/>
                <w:szCs w:val="28"/>
                <w:lang w:val="en-US" w:eastAsia="zh-CN"/>
              </w:rPr>
              <w:t>，</w:t>
            </w:r>
            <w:r>
              <w:rPr>
                <w:rFonts w:hint="eastAsia" w:eastAsia="仿宋_GB2312"/>
                <w:bCs/>
                <w:spacing w:val="6"/>
                <w:szCs w:val="28"/>
                <w:lang w:val="en-US"/>
              </w:rPr>
              <w:t>形成了大规模机器人群的运营能力。</w:t>
            </w:r>
          </w:p>
        </w:tc>
      </w:tr>
      <w:tr w14:paraId="2E391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555" w:type="dxa"/>
            <w:vAlign w:val="center"/>
          </w:tcPr>
          <w:p w14:paraId="7CFCDB73">
            <w:pPr>
              <w:adjustRightInd w:val="0"/>
              <w:snapToGrid w:val="0"/>
              <w:jc w:val="center"/>
              <w:rPr>
                <w:rFonts w:ascii="楷体_GB2312" w:hAnsi="楷体_GB2312" w:eastAsia="楷体_GB2312" w:cs="楷体_GB2312"/>
                <w:bCs/>
                <w:spacing w:val="6"/>
                <w:szCs w:val="28"/>
                <w:highlight w:val="none"/>
              </w:rPr>
            </w:pPr>
            <w:r>
              <w:rPr>
                <w:rFonts w:hint="eastAsia" w:ascii="楷体_GB2312" w:hAnsi="楷体_GB2312" w:eastAsia="楷体_GB2312" w:cs="楷体_GB2312"/>
                <w:sz w:val="28"/>
                <w:szCs w:val="32"/>
                <w:highlight w:val="none"/>
                <w:lang w:val="en-US"/>
              </w:rPr>
              <w:t>联系人</w:t>
            </w:r>
          </w:p>
        </w:tc>
        <w:tc>
          <w:tcPr>
            <w:tcW w:w="3189" w:type="dxa"/>
            <w:vAlign w:val="center"/>
          </w:tcPr>
          <w:p w14:paraId="10328C04">
            <w:pPr>
              <w:adjustRightInd w:val="0"/>
              <w:snapToGrid w:val="0"/>
              <w:jc w:val="center"/>
              <w:rPr>
                <w:rFonts w:hint="eastAsia" w:ascii="仿宋_GB2312" w:hAnsi="仿宋_GB2312" w:eastAsia="仿宋_GB2312" w:cs="仿宋_GB2312"/>
                <w:bCs/>
                <w:color w:val="000000"/>
                <w:spacing w:val="6"/>
                <w:szCs w:val="28"/>
                <w:lang w:val="en-US" w:eastAsia="zh-CN"/>
              </w:rPr>
            </w:pPr>
            <w:r>
              <w:rPr>
                <w:rFonts w:hint="eastAsia" w:ascii="仿宋_GB2312" w:hAnsi="仿宋_GB2312" w:eastAsia="仿宋_GB2312" w:cs="仿宋_GB2312"/>
                <w:bCs/>
                <w:color w:val="000000"/>
                <w:spacing w:val="6"/>
                <w:szCs w:val="28"/>
                <w:lang w:val="en-US" w:eastAsia="zh-CN"/>
              </w:rPr>
              <w:t>吴凡</w:t>
            </w:r>
          </w:p>
        </w:tc>
        <w:tc>
          <w:tcPr>
            <w:tcW w:w="1073" w:type="dxa"/>
            <w:vAlign w:val="center"/>
          </w:tcPr>
          <w:p w14:paraId="1FCDDA08">
            <w:pPr>
              <w:adjustRightInd w:val="0"/>
              <w:spacing w:line="560" w:lineRule="exact"/>
              <w:jc w:val="center"/>
              <w:rPr>
                <w:rFonts w:ascii="楷体_GB2312" w:hAnsi="楷体_GB2312" w:eastAsia="楷体_GB2312" w:cs="楷体_GB2312"/>
                <w:sz w:val="28"/>
                <w:szCs w:val="32"/>
                <w:highlight w:val="none"/>
              </w:rPr>
            </w:pPr>
            <w:r>
              <w:rPr>
                <w:rFonts w:hint="eastAsia" w:ascii="楷体_GB2312" w:hAnsi="楷体_GB2312" w:eastAsia="楷体_GB2312" w:cs="楷体_GB2312"/>
                <w:sz w:val="28"/>
                <w:szCs w:val="32"/>
                <w:highlight w:val="none"/>
              </w:rPr>
              <w:t>职务</w:t>
            </w:r>
          </w:p>
        </w:tc>
        <w:tc>
          <w:tcPr>
            <w:tcW w:w="2783" w:type="dxa"/>
            <w:vAlign w:val="center"/>
          </w:tcPr>
          <w:p w14:paraId="78F0DF1A">
            <w:pPr>
              <w:adjustRightInd w:val="0"/>
              <w:snapToGrid w:val="0"/>
              <w:jc w:val="center"/>
              <w:rPr>
                <w:rFonts w:hint="eastAsia" w:ascii="仿宋_GB2312" w:hAnsi="仿宋_GB2312" w:eastAsia="仿宋_GB2312" w:cs="仿宋_GB2312"/>
                <w:bCs/>
                <w:color w:val="000000"/>
                <w:spacing w:val="6"/>
                <w:szCs w:val="28"/>
                <w:lang w:val="en-US" w:eastAsia="zh-CN"/>
              </w:rPr>
            </w:pPr>
            <w:r>
              <w:rPr>
                <w:rFonts w:hint="eastAsia" w:ascii="仿宋_GB2312" w:hAnsi="仿宋_GB2312" w:eastAsia="仿宋_GB2312" w:cs="仿宋_GB2312"/>
                <w:bCs/>
                <w:color w:val="000000"/>
                <w:spacing w:val="6"/>
                <w:szCs w:val="28"/>
                <w:lang w:val="en-US" w:eastAsia="zh-CN"/>
              </w:rPr>
              <w:t>经理</w:t>
            </w:r>
          </w:p>
        </w:tc>
      </w:tr>
      <w:tr w14:paraId="44309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555" w:type="dxa"/>
            <w:vAlign w:val="center"/>
          </w:tcPr>
          <w:p w14:paraId="3D7DDA40">
            <w:pPr>
              <w:adjustRightInd w:val="0"/>
              <w:snapToGrid w:val="0"/>
              <w:jc w:val="center"/>
              <w:rPr>
                <w:rFonts w:ascii="楷体_GB2312" w:hAnsi="楷体_GB2312" w:eastAsia="楷体_GB2312" w:cs="楷体_GB2312"/>
                <w:bCs/>
                <w:spacing w:val="6"/>
                <w:szCs w:val="28"/>
                <w:highlight w:val="none"/>
                <w:lang w:val="en-US"/>
              </w:rPr>
            </w:pPr>
            <w:r>
              <w:rPr>
                <w:rFonts w:hint="eastAsia" w:ascii="楷体_GB2312" w:hAnsi="楷体_GB2312" w:eastAsia="楷体_GB2312" w:cs="楷体_GB2312"/>
                <w:sz w:val="28"/>
                <w:szCs w:val="32"/>
                <w:highlight w:val="none"/>
                <w:lang w:val="en-US"/>
              </w:rPr>
              <w:t>联系方式</w:t>
            </w:r>
          </w:p>
        </w:tc>
        <w:tc>
          <w:tcPr>
            <w:tcW w:w="3189" w:type="dxa"/>
            <w:vAlign w:val="center"/>
          </w:tcPr>
          <w:p w14:paraId="41A48059">
            <w:pPr>
              <w:adjustRightInd w:val="0"/>
              <w:snapToGrid w:val="0"/>
              <w:jc w:val="center"/>
              <w:rPr>
                <w:rFonts w:hint="default" w:ascii="仿宋_GB2312" w:hAnsi="仿宋_GB2312" w:eastAsia="仿宋_GB2312" w:cs="仿宋_GB2312"/>
                <w:bCs/>
                <w:color w:val="000000"/>
                <w:spacing w:val="6"/>
                <w:szCs w:val="28"/>
                <w:lang w:val="en-US" w:eastAsia="zh-CN"/>
              </w:rPr>
            </w:pPr>
            <w:r>
              <w:rPr>
                <w:rFonts w:hint="eastAsia" w:ascii="仿宋_GB2312" w:hAnsi="仿宋_GB2312" w:eastAsia="仿宋_GB2312" w:cs="仿宋_GB2312"/>
                <w:bCs/>
                <w:color w:val="000000"/>
                <w:spacing w:val="6"/>
                <w:szCs w:val="28"/>
                <w:lang w:val="en-US" w:eastAsia="zh-CN"/>
              </w:rPr>
              <w:t>13683055476</w:t>
            </w:r>
          </w:p>
        </w:tc>
        <w:tc>
          <w:tcPr>
            <w:tcW w:w="1073" w:type="dxa"/>
            <w:vAlign w:val="center"/>
          </w:tcPr>
          <w:p w14:paraId="408119AC">
            <w:pPr>
              <w:adjustRightInd w:val="0"/>
              <w:spacing w:line="560" w:lineRule="exact"/>
              <w:jc w:val="center"/>
              <w:rPr>
                <w:rFonts w:ascii="楷体_GB2312" w:hAnsi="楷体_GB2312" w:eastAsia="楷体_GB2312" w:cs="楷体_GB2312"/>
                <w:sz w:val="28"/>
                <w:szCs w:val="32"/>
                <w:highlight w:val="none"/>
              </w:rPr>
            </w:pPr>
            <w:r>
              <w:rPr>
                <w:rFonts w:hint="eastAsia" w:ascii="楷体_GB2312" w:hAnsi="楷体_GB2312" w:eastAsia="楷体_GB2312" w:cs="楷体_GB2312"/>
                <w:sz w:val="28"/>
                <w:szCs w:val="32"/>
                <w:highlight w:val="none"/>
              </w:rPr>
              <w:t>微信</w:t>
            </w:r>
          </w:p>
        </w:tc>
        <w:tc>
          <w:tcPr>
            <w:tcW w:w="2783" w:type="dxa"/>
            <w:vAlign w:val="center"/>
          </w:tcPr>
          <w:p w14:paraId="64CDABB3">
            <w:pPr>
              <w:adjustRightInd w:val="0"/>
              <w:snapToGrid w:val="0"/>
              <w:jc w:val="center"/>
              <w:rPr>
                <w:rFonts w:hint="default" w:ascii="仿宋_GB2312" w:hAnsi="仿宋_GB2312" w:eastAsia="仿宋_GB2312" w:cs="仿宋_GB2312"/>
                <w:bCs/>
                <w:color w:val="000000"/>
                <w:spacing w:val="6"/>
                <w:szCs w:val="28"/>
                <w:lang w:val="en-US" w:eastAsia="zh-CN"/>
              </w:rPr>
            </w:pPr>
            <w:r>
              <w:rPr>
                <w:rFonts w:hint="eastAsia" w:ascii="仿宋_GB2312" w:hAnsi="仿宋_GB2312" w:eastAsia="仿宋_GB2312" w:cs="仿宋_GB2312"/>
                <w:bCs/>
                <w:color w:val="000000"/>
                <w:spacing w:val="6"/>
                <w:szCs w:val="28"/>
                <w:lang w:val="en-US" w:eastAsia="zh-CN"/>
              </w:rPr>
              <w:t>同手机号</w:t>
            </w:r>
          </w:p>
        </w:tc>
      </w:tr>
    </w:tbl>
    <w:p w14:paraId="1CBD7045">
      <w:pPr>
        <w:tabs>
          <w:tab w:val="left" w:pos="8640"/>
        </w:tabs>
        <w:adjustRightInd w:val="0"/>
        <w:snapToGrid w:val="0"/>
        <w:spacing w:line="560" w:lineRule="exact"/>
        <w:rPr>
          <w:rFonts w:ascii="方正黑体简体" w:eastAsia="方正黑体简体"/>
          <w:bCs/>
          <w:spacing w:val="6"/>
          <w:sz w:val="32"/>
          <w:szCs w:val="32"/>
        </w:rPr>
      </w:pPr>
      <w:r>
        <w:rPr>
          <w:rFonts w:hint="eastAsia" w:ascii="方正黑体简体" w:eastAsia="方正黑体简体"/>
          <w:bCs/>
          <w:spacing w:val="6"/>
          <w:sz w:val="32"/>
          <w:szCs w:val="32"/>
        </w:rPr>
        <w:t>二、选题说明</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4A8EC2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C76D4AD">
            <w:pPr>
              <w:adjustRightInd w:val="0"/>
              <w:snapToGrid w:val="0"/>
              <w:spacing w:line="560" w:lineRule="exact"/>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lang w:val="en-US"/>
              </w:rPr>
              <w:t>选题</w:t>
            </w:r>
            <w:r>
              <w:rPr>
                <w:rFonts w:hint="eastAsia" w:ascii="楷体_GB2312" w:hAnsi="楷体_GB2312" w:eastAsia="楷体_GB2312" w:cs="楷体_GB2312"/>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2B0E24F">
            <w:pPr>
              <w:adjustRightInd w:val="0"/>
              <w:snapToGrid w:val="0"/>
              <w:jc w:val="center"/>
              <w:rPr>
                <w:rFonts w:ascii="仿宋_GB2312" w:hAnsi="仿宋_GB2312" w:eastAsia="仿宋_GB2312" w:cs="仿宋_GB2312"/>
                <w:color w:val="000000"/>
              </w:rPr>
            </w:pPr>
            <w:r>
              <w:rPr>
                <w:rFonts w:hint="eastAsia" w:ascii="仿宋_GB2312" w:hAnsi="仿宋_GB2312" w:eastAsia="仿宋_GB2312" w:cs="仿宋_GB2312"/>
                <w:bCs/>
                <w:color w:val="000000"/>
                <w:spacing w:val="6"/>
                <w:szCs w:val="28"/>
              </w:rPr>
              <w:t>面向无人驾驶的交警手势识别系统</w:t>
            </w:r>
          </w:p>
        </w:tc>
      </w:tr>
      <w:tr w14:paraId="717C56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8BA5207">
            <w:pPr>
              <w:adjustRightInd w:val="0"/>
              <w:snapToGrid w:val="0"/>
              <w:spacing w:line="560" w:lineRule="exact"/>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50FEC82">
            <w:pPr>
              <w:adjustRightInd w:val="0"/>
              <w:snapToGrid w:val="0"/>
              <w:jc w:val="center"/>
              <w:rPr>
                <w:rFonts w:ascii="仿宋_GB2312" w:hAnsi="仿宋_GB2312" w:eastAsia="仿宋_GB2312" w:cs="仿宋_GB2312"/>
                <w:color w:val="000000"/>
              </w:rPr>
            </w:pPr>
            <w:r>
              <w:rPr>
                <w:rFonts w:hint="eastAsia" w:ascii="仿宋_GB2312" w:hAnsi="仿宋_GB2312" w:eastAsia="仿宋_GB2312" w:cs="仿宋_GB2312"/>
                <w:bCs/>
                <w:color w:val="000000"/>
                <w:spacing w:val="6"/>
                <w:szCs w:val="28"/>
                <w:lang w:val="en-US"/>
              </w:rPr>
              <w:t>人工智能</w:t>
            </w:r>
          </w:p>
        </w:tc>
      </w:tr>
      <w:tr w14:paraId="762D83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007F2EF">
            <w:pPr>
              <w:adjustRightInd w:val="0"/>
              <w:snapToGrid w:val="0"/>
              <w:spacing w:line="560" w:lineRule="exact"/>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DD85871">
            <w:pPr>
              <w:adjustRightInd w:val="0"/>
              <w:snapToGrid w:val="0"/>
              <w:ind w:firstLine="504" w:firstLineChars="200"/>
              <w:jc w:val="both"/>
              <w:rPr>
                <w:rFonts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随着城市智慧交通与无人驾驶技术的快速发展，自动驾驶车辆在结构化道路上已能较好处理固定交通信号。然而，在真实、复杂的开放道路场景中，仍存在一个关键感知盲区：对现场交警动态指挥手势的识别与理解。</w:t>
            </w:r>
          </w:p>
          <w:p w14:paraId="71DBCD1C">
            <w:pPr>
              <w:adjustRightInd w:val="0"/>
              <w:snapToGrid w:val="0"/>
              <w:ind w:firstLine="504" w:firstLineChars="200"/>
              <w:jc w:val="both"/>
              <w:rPr>
                <w:rFonts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例如，当交叉路口信号灯故障、举行大型活动或发生交通事故时，交警现场指挥成为交通流的核心依据。目前的无人驾驶车辆，即便搭载了先进的感知系统，也普遍无法准确识别交警的“停止”、“直行”、“左转待转”等手势意图，可能导致车辆误判、违规通行甚至引发安全隐患。这一能力缺失，严重制约了无人驾驶车辆在现实道路中的全天候、全场景适用性。</w:t>
            </w:r>
          </w:p>
          <w:p w14:paraId="0A5F904D">
            <w:pPr>
              <w:adjustRightInd w:val="0"/>
              <w:snapToGrid w:val="0"/>
              <w:ind w:firstLine="504" w:firstLineChars="200"/>
              <w:jc w:val="both"/>
              <w:rPr>
                <w:rFonts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本题目要求研发一套高鲁棒性、强实时性的交警手势识别系统，能够作为独立感知模块无缝嵌入无人驾驶平台。系统需在复杂光照、天气、背景干扰及交警个体差异下，稳定完成手势的检测、跟踪、分类与意图解析，并将结果转化为车辆控制域可理解的标准化指令，实现人车互信。</w:t>
            </w:r>
          </w:p>
        </w:tc>
      </w:tr>
      <w:tr w14:paraId="3E1B5E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ECDEA09">
            <w:pPr>
              <w:adjustRightInd w:val="0"/>
              <w:snapToGrid w:val="0"/>
              <w:spacing w:line="560" w:lineRule="exact"/>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150F949">
            <w:pPr>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lang w:eastAsia="zh-CN"/>
              </w:rPr>
              <w:t>1.</w:t>
            </w:r>
            <w:r>
              <w:rPr>
                <w:rFonts w:hint="eastAsia" w:ascii="仿宋_GB2312" w:hAnsi="仿宋_GB2312" w:eastAsia="仿宋_GB2312" w:cs="仿宋_GB2312"/>
                <w:bCs/>
                <w:color w:val="000000"/>
                <w:spacing w:val="6"/>
                <w:szCs w:val="28"/>
              </w:rPr>
              <w:t>作品形式</w:t>
            </w:r>
          </w:p>
          <w:p w14:paraId="3A783C70">
            <w:pPr>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系统设计方案报告：需详细阐述系统的总体架构、核心模块设计、关键算法、通信与数据流程、以及拟采用的验证方法。以</w:t>
            </w:r>
            <w:r>
              <w:rPr>
                <w:rFonts w:ascii="仿宋_GB2312" w:hAnsi="仿宋_GB2312" w:eastAsia="仿宋_GB2312" w:cs="仿宋_GB2312"/>
                <w:bCs/>
                <w:color w:val="000000"/>
                <w:spacing w:val="6"/>
                <w:szCs w:val="28"/>
              </w:rPr>
              <w:t>word</w:t>
            </w:r>
            <w:r>
              <w:rPr>
                <w:rFonts w:hint="eastAsia" w:ascii="仿宋_GB2312" w:hAnsi="仿宋_GB2312" w:eastAsia="仿宋_GB2312" w:cs="仿宋_GB2312"/>
                <w:bCs/>
                <w:color w:val="000000"/>
                <w:spacing w:val="6"/>
                <w:szCs w:val="28"/>
              </w:rPr>
              <w:t>版和</w:t>
            </w:r>
            <w:r>
              <w:rPr>
                <w:rFonts w:ascii="仿宋_GB2312" w:hAnsi="仿宋_GB2312" w:eastAsia="仿宋_GB2312" w:cs="仿宋_GB2312"/>
                <w:bCs/>
                <w:color w:val="000000"/>
                <w:spacing w:val="6"/>
                <w:szCs w:val="28"/>
              </w:rPr>
              <w:t>PPT</w:t>
            </w:r>
            <w:r>
              <w:rPr>
                <w:rFonts w:hint="eastAsia" w:ascii="仿宋_GB2312" w:hAnsi="仿宋_GB2312" w:eastAsia="仿宋_GB2312" w:cs="仿宋_GB2312"/>
                <w:bCs/>
                <w:color w:val="000000"/>
                <w:spacing w:val="6"/>
                <w:szCs w:val="28"/>
              </w:rPr>
              <w:t>版呈现。应包含题目（结合选题和项目自身特点另拟）、团队简介、研究背景、研究内容、技术路线、创新优势、下一步展望等部分。</w:t>
            </w:r>
          </w:p>
          <w:p w14:paraId="31B36323">
            <w:pPr>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核心功能原型或仿真验证：鼓励提交可运行的软件原型、仿真测试脚本或硬件在环测试方案，以证明技术路线的可行性。</w:t>
            </w:r>
          </w:p>
          <w:p w14:paraId="3229FBD4">
            <w:pPr>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lang w:eastAsia="zh-CN"/>
              </w:rPr>
              <w:t>2.</w:t>
            </w:r>
            <w:r>
              <w:rPr>
                <w:rFonts w:hint="eastAsia" w:ascii="仿宋_GB2312" w:hAnsi="仿宋_GB2312" w:eastAsia="仿宋_GB2312" w:cs="仿宋_GB2312"/>
                <w:bCs/>
                <w:color w:val="000000"/>
                <w:spacing w:val="6"/>
                <w:szCs w:val="28"/>
              </w:rPr>
              <w:t>提交说明</w:t>
            </w:r>
          </w:p>
          <w:p w14:paraId="0FAEB249">
            <w:pPr>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所有材料（报告、代码、演示视频等）需在规定截止日期前统一提交。</w:t>
            </w:r>
          </w:p>
          <w:p w14:paraId="3AFBF669">
            <w:pPr>
              <w:adjustRightInd w:val="0"/>
              <w:snapToGrid w:val="0"/>
              <w:ind w:firstLine="504" w:firstLineChars="200"/>
              <w:rPr>
                <w:rFonts w:ascii="仿宋_GB2312" w:hAnsi="仿宋_GB2312" w:eastAsia="仿宋_GB2312" w:cs="仿宋_GB2312"/>
                <w:color w:val="000000"/>
              </w:rPr>
            </w:pPr>
            <w:r>
              <w:rPr>
                <w:rFonts w:hint="eastAsia" w:ascii="仿宋_GB2312" w:hAnsi="仿宋_GB2312" w:eastAsia="仿宋_GB2312" w:cs="仿宋_GB2312"/>
                <w:bCs/>
                <w:color w:val="000000"/>
                <w:spacing w:val="6"/>
                <w:szCs w:val="28"/>
              </w:rPr>
              <w:t>报告应逻辑清晰，重点突出创新点与技术实现细节，避免泛泛而谈。</w:t>
            </w:r>
          </w:p>
        </w:tc>
      </w:tr>
      <w:tr w14:paraId="65BBA2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B6CCE7">
            <w:pPr>
              <w:overflowPunct w:val="0"/>
              <w:adjustRightInd w:val="0"/>
              <w:snapToGrid w:val="0"/>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作品评审</w:t>
            </w:r>
          </w:p>
          <w:p w14:paraId="60877365">
            <w:pPr>
              <w:overflowPunct w:val="0"/>
              <w:adjustRightInd w:val="0"/>
              <w:snapToGrid w:val="0"/>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380E42">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以下评审量化标准仅供参考，具体以竞赛组委会指导意见为准。</w:t>
            </w:r>
          </w:p>
          <w:p w14:paraId="6C87E3B3">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评审将主要从创新性、可行性、完整性和应用潜力四个维度进行量化考察，总分为</w:t>
            </w:r>
            <w:r>
              <w:rPr>
                <w:rFonts w:ascii="仿宋_GB2312" w:hAnsi="仿宋_GB2312" w:eastAsia="仿宋_GB2312" w:cs="仿宋_GB2312"/>
                <w:bCs/>
                <w:color w:val="000000"/>
                <w:spacing w:val="6"/>
                <w:szCs w:val="28"/>
              </w:rPr>
              <w:t>100</w:t>
            </w:r>
            <w:r>
              <w:rPr>
                <w:rFonts w:hint="eastAsia" w:ascii="仿宋_GB2312" w:hAnsi="仿宋_GB2312" w:eastAsia="仿宋_GB2312" w:cs="仿宋_GB2312"/>
                <w:bCs/>
                <w:color w:val="000000"/>
                <w:spacing w:val="6"/>
                <w:szCs w:val="28"/>
              </w:rPr>
              <w:t>分。</w:t>
            </w:r>
          </w:p>
          <w:p w14:paraId="34372F2E">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【创新性】</w:t>
            </w:r>
          </w:p>
          <w:p w14:paraId="4419D9F1">
            <w:pPr>
              <w:overflowPunct w:val="0"/>
              <w:adjustRightInd w:val="0"/>
              <w:snapToGrid w:val="0"/>
              <w:ind w:firstLine="504" w:firstLineChars="200"/>
              <w:rPr>
                <w:rFonts w:ascii="仿宋_GB2312" w:hAnsi="仿宋_GB2312" w:eastAsia="仿宋_GB2312" w:cs="仿宋_GB2312"/>
                <w:bCs/>
                <w:color w:val="000000"/>
                <w:spacing w:val="6"/>
                <w:szCs w:val="28"/>
              </w:rPr>
            </w:pPr>
            <w:r>
              <w:rPr>
                <w:rFonts w:ascii="仿宋_GB2312" w:hAnsi="仿宋_GB2312" w:eastAsia="仿宋_GB2312" w:cs="仿宋_GB2312"/>
                <w:bCs/>
                <w:color w:val="000000"/>
                <w:spacing w:val="6"/>
                <w:szCs w:val="28"/>
              </w:rPr>
              <w:t xml:space="preserve">1. </w:t>
            </w:r>
            <w:r>
              <w:rPr>
                <w:rFonts w:hint="eastAsia" w:ascii="仿宋_GB2312" w:hAnsi="仿宋_GB2312" w:eastAsia="仿宋_GB2312" w:cs="仿宋_GB2312"/>
                <w:bCs/>
                <w:color w:val="000000"/>
                <w:spacing w:val="6"/>
                <w:szCs w:val="28"/>
              </w:rPr>
              <w:t>思路创新（</w:t>
            </w:r>
            <w:r>
              <w:rPr>
                <w:rFonts w:ascii="仿宋_GB2312" w:hAnsi="仿宋_GB2312" w:eastAsia="仿宋_GB2312" w:cs="仿宋_GB2312"/>
                <w:bCs/>
                <w:color w:val="000000"/>
                <w:spacing w:val="6"/>
                <w:szCs w:val="28"/>
              </w:rPr>
              <w:t>15</w:t>
            </w:r>
            <w:r>
              <w:rPr>
                <w:rFonts w:hint="eastAsia" w:ascii="仿宋_GB2312" w:hAnsi="仿宋_GB2312" w:eastAsia="仿宋_GB2312" w:cs="仿宋_GB2312"/>
                <w:bCs/>
                <w:color w:val="000000"/>
                <w:spacing w:val="6"/>
                <w:szCs w:val="28"/>
              </w:rPr>
              <w:t>分）：是否提出了新颖的检测架构、攻击模型或关联分析方法，有效弥补现有方法的不足。</w:t>
            </w:r>
          </w:p>
          <w:p w14:paraId="2ECAD169">
            <w:pPr>
              <w:overflowPunct w:val="0"/>
              <w:adjustRightInd w:val="0"/>
              <w:snapToGrid w:val="0"/>
              <w:ind w:firstLine="504" w:firstLineChars="200"/>
              <w:rPr>
                <w:rFonts w:ascii="仿宋_GB2312" w:hAnsi="仿宋_GB2312" w:eastAsia="仿宋_GB2312" w:cs="仿宋_GB2312"/>
                <w:bCs/>
                <w:color w:val="000000"/>
                <w:spacing w:val="6"/>
                <w:szCs w:val="28"/>
              </w:rPr>
            </w:pPr>
            <w:r>
              <w:rPr>
                <w:rFonts w:ascii="仿宋_GB2312" w:hAnsi="仿宋_GB2312" w:eastAsia="仿宋_GB2312" w:cs="仿宋_GB2312"/>
                <w:bCs/>
                <w:color w:val="000000"/>
                <w:spacing w:val="6"/>
                <w:szCs w:val="28"/>
              </w:rPr>
              <w:t xml:space="preserve">2. </w:t>
            </w:r>
            <w:r>
              <w:rPr>
                <w:rFonts w:hint="eastAsia" w:ascii="仿宋_GB2312" w:hAnsi="仿宋_GB2312" w:eastAsia="仿宋_GB2312" w:cs="仿宋_GB2312"/>
                <w:bCs/>
                <w:color w:val="000000"/>
                <w:spacing w:val="6"/>
                <w:szCs w:val="28"/>
              </w:rPr>
              <w:t>技术创新（</w:t>
            </w:r>
            <w:r>
              <w:rPr>
                <w:rFonts w:ascii="仿宋_GB2312" w:hAnsi="仿宋_GB2312" w:eastAsia="仿宋_GB2312" w:cs="仿宋_GB2312"/>
                <w:bCs/>
                <w:color w:val="000000"/>
                <w:spacing w:val="6"/>
                <w:szCs w:val="28"/>
              </w:rPr>
              <w:t>15</w:t>
            </w:r>
            <w:r>
              <w:rPr>
                <w:rFonts w:hint="eastAsia" w:ascii="仿宋_GB2312" w:hAnsi="仿宋_GB2312" w:eastAsia="仿宋_GB2312" w:cs="仿宋_GB2312"/>
                <w:bCs/>
                <w:color w:val="000000"/>
                <w:spacing w:val="6"/>
                <w:szCs w:val="28"/>
              </w:rPr>
              <w:t>分）：是否采用了先进的检测算法，并在降低误报率、提高实时性等方面有明确设计。</w:t>
            </w:r>
          </w:p>
          <w:p w14:paraId="35D08156">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【可行性】</w:t>
            </w:r>
          </w:p>
          <w:p w14:paraId="1AFE9211">
            <w:pPr>
              <w:overflowPunct w:val="0"/>
              <w:adjustRightInd w:val="0"/>
              <w:snapToGrid w:val="0"/>
              <w:ind w:firstLine="504" w:firstLineChars="200"/>
              <w:rPr>
                <w:rFonts w:ascii="仿宋_GB2312" w:hAnsi="仿宋_GB2312" w:eastAsia="仿宋_GB2312" w:cs="仿宋_GB2312"/>
                <w:bCs/>
                <w:color w:val="000000"/>
                <w:spacing w:val="6"/>
                <w:szCs w:val="28"/>
              </w:rPr>
            </w:pPr>
            <w:r>
              <w:rPr>
                <w:rFonts w:ascii="仿宋_GB2312" w:hAnsi="仿宋_GB2312" w:eastAsia="仿宋_GB2312" w:cs="仿宋_GB2312"/>
                <w:bCs/>
                <w:color w:val="000000"/>
                <w:spacing w:val="6"/>
                <w:szCs w:val="28"/>
              </w:rPr>
              <w:t xml:space="preserve">1. </w:t>
            </w:r>
            <w:r>
              <w:rPr>
                <w:rFonts w:hint="eastAsia" w:ascii="仿宋_GB2312" w:hAnsi="仿宋_GB2312" w:eastAsia="仿宋_GB2312" w:cs="仿宋_GB2312"/>
                <w:bCs/>
                <w:color w:val="000000"/>
                <w:spacing w:val="6"/>
                <w:szCs w:val="28"/>
              </w:rPr>
              <w:t>技术可实现性（</w:t>
            </w:r>
            <w:r>
              <w:rPr>
                <w:rFonts w:ascii="仿宋_GB2312" w:hAnsi="仿宋_GB2312" w:eastAsia="仿宋_GB2312" w:cs="仿宋_GB2312"/>
                <w:bCs/>
                <w:color w:val="000000"/>
                <w:spacing w:val="6"/>
                <w:szCs w:val="28"/>
              </w:rPr>
              <w:t>15</w:t>
            </w:r>
            <w:r>
              <w:rPr>
                <w:rFonts w:hint="eastAsia" w:ascii="仿宋_GB2312" w:hAnsi="仿宋_GB2312" w:eastAsia="仿宋_GB2312" w:cs="仿宋_GB2312"/>
                <w:bCs/>
                <w:color w:val="000000"/>
                <w:spacing w:val="6"/>
                <w:szCs w:val="28"/>
              </w:rPr>
              <w:t>分）：方案所依赖的技术是否在学生团队能力和现有开源工具</w:t>
            </w:r>
            <w:r>
              <w:rPr>
                <w:rFonts w:ascii="仿宋_GB2312" w:hAnsi="仿宋_GB2312" w:eastAsia="仿宋_GB2312" w:cs="仿宋_GB2312"/>
                <w:bCs/>
                <w:color w:val="000000"/>
                <w:spacing w:val="6"/>
                <w:szCs w:val="28"/>
              </w:rPr>
              <w:t>/</w:t>
            </w:r>
            <w:r>
              <w:rPr>
                <w:rFonts w:hint="eastAsia" w:ascii="仿宋_GB2312" w:hAnsi="仿宋_GB2312" w:eastAsia="仿宋_GB2312" w:cs="仿宋_GB2312"/>
                <w:bCs/>
                <w:color w:val="000000"/>
                <w:spacing w:val="6"/>
                <w:szCs w:val="28"/>
              </w:rPr>
              <w:t>平台支持范围内。核心模块是否有明确、分步骤的实现路径。</w:t>
            </w:r>
          </w:p>
          <w:p w14:paraId="33365724">
            <w:pPr>
              <w:overflowPunct w:val="0"/>
              <w:adjustRightInd w:val="0"/>
              <w:snapToGrid w:val="0"/>
              <w:ind w:firstLine="504" w:firstLineChars="200"/>
              <w:rPr>
                <w:rFonts w:ascii="仿宋_GB2312" w:hAnsi="仿宋_GB2312" w:eastAsia="仿宋_GB2312" w:cs="仿宋_GB2312"/>
                <w:bCs/>
                <w:color w:val="000000"/>
                <w:spacing w:val="6"/>
                <w:szCs w:val="28"/>
              </w:rPr>
            </w:pPr>
            <w:r>
              <w:rPr>
                <w:rFonts w:ascii="仿宋_GB2312" w:hAnsi="仿宋_GB2312" w:eastAsia="仿宋_GB2312" w:cs="仿宋_GB2312"/>
                <w:bCs/>
                <w:color w:val="000000"/>
                <w:spacing w:val="6"/>
                <w:szCs w:val="28"/>
              </w:rPr>
              <w:t xml:space="preserve">2. </w:t>
            </w:r>
            <w:r>
              <w:rPr>
                <w:rFonts w:hint="eastAsia" w:ascii="仿宋_GB2312" w:hAnsi="仿宋_GB2312" w:eastAsia="仿宋_GB2312" w:cs="仿宋_GB2312"/>
                <w:bCs/>
                <w:color w:val="000000"/>
                <w:spacing w:val="6"/>
                <w:szCs w:val="28"/>
              </w:rPr>
              <w:t>资源与成本控制（</w:t>
            </w:r>
            <w:r>
              <w:rPr>
                <w:rFonts w:ascii="仿宋_GB2312" w:hAnsi="仿宋_GB2312" w:eastAsia="仿宋_GB2312" w:cs="仿宋_GB2312"/>
                <w:bCs/>
                <w:color w:val="000000"/>
                <w:spacing w:val="6"/>
                <w:szCs w:val="28"/>
              </w:rPr>
              <w:t>15</w:t>
            </w:r>
            <w:r>
              <w:rPr>
                <w:rFonts w:hint="eastAsia" w:ascii="仿宋_GB2312" w:hAnsi="仿宋_GB2312" w:eastAsia="仿宋_GB2312" w:cs="仿宋_GB2312"/>
                <w:bCs/>
                <w:color w:val="000000"/>
                <w:spacing w:val="6"/>
                <w:szCs w:val="28"/>
              </w:rPr>
              <w:t>分）：是否充分考虑车规级硬件成本、算力需求与通信开销，方案是否具备在真实或仿真环境下进行低成本验证的条件。</w:t>
            </w:r>
          </w:p>
          <w:p w14:paraId="46B9C610">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【完整性】</w:t>
            </w:r>
          </w:p>
          <w:p w14:paraId="5FF02050">
            <w:pPr>
              <w:overflowPunct w:val="0"/>
              <w:adjustRightInd w:val="0"/>
              <w:snapToGrid w:val="0"/>
              <w:ind w:firstLine="504" w:firstLineChars="200"/>
              <w:rPr>
                <w:rFonts w:ascii="仿宋_GB2312" w:hAnsi="仿宋_GB2312" w:eastAsia="仿宋_GB2312" w:cs="仿宋_GB2312"/>
                <w:bCs/>
                <w:color w:val="000000"/>
                <w:spacing w:val="6"/>
                <w:szCs w:val="28"/>
              </w:rPr>
            </w:pPr>
            <w:r>
              <w:rPr>
                <w:rFonts w:ascii="仿宋_GB2312" w:hAnsi="仿宋_GB2312" w:eastAsia="仿宋_GB2312" w:cs="仿宋_GB2312"/>
                <w:bCs/>
                <w:color w:val="000000"/>
                <w:spacing w:val="6"/>
                <w:szCs w:val="28"/>
              </w:rPr>
              <w:t xml:space="preserve">1. </w:t>
            </w:r>
            <w:r>
              <w:rPr>
                <w:rFonts w:hint="eastAsia" w:ascii="仿宋_GB2312" w:hAnsi="仿宋_GB2312" w:eastAsia="仿宋_GB2312" w:cs="仿宋_GB2312"/>
                <w:bCs/>
                <w:color w:val="000000"/>
                <w:spacing w:val="6"/>
                <w:szCs w:val="28"/>
              </w:rPr>
              <w:t>方案系统性（</w:t>
            </w:r>
            <w:r>
              <w:rPr>
                <w:rFonts w:ascii="仿宋_GB2312" w:hAnsi="仿宋_GB2312" w:eastAsia="仿宋_GB2312" w:cs="仿宋_GB2312"/>
                <w:bCs/>
                <w:color w:val="000000"/>
                <w:spacing w:val="6"/>
                <w:szCs w:val="28"/>
              </w:rPr>
              <w:t>15</w:t>
            </w:r>
            <w:r>
              <w:rPr>
                <w:rFonts w:hint="eastAsia" w:ascii="仿宋_GB2312" w:hAnsi="仿宋_GB2312" w:eastAsia="仿宋_GB2312" w:cs="仿宋_GB2312"/>
                <w:bCs/>
                <w:color w:val="000000"/>
                <w:spacing w:val="6"/>
                <w:szCs w:val="28"/>
              </w:rPr>
              <w:t>分）：是否完整定义了系统各组件功能、接口和数据流，是否设计了从数据采集、分析到报警响应的完整闭环。</w:t>
            </w:r>
          </w:p>
          <w:p w14:paraId="1A14885D">
            <w:pPr>
              <w:overflowPunct w:val="0"/>
              <w:adjustRightInd w:val="0"/>
              <w:snapToGrid w:val="0"/>
              <w:ind w:firstLine="504" w:firstLineChars="200"/>
              <w:rPr>
                <w:rFonts w:ascii="仿宋_GB2312" w:hAnsi="仿宋_GB2312" w:eastAsia="仿宋_GB2312" w:cs="仿宋_GB2312"/>
                <w:bCs/>
                <w:color w:val="000000"/>
                <w:spacing w:val="6"/>
                <w:szCs w:val="28"/>
              </w:rPr>
            </w:pPr>
            <w:r>
              <w:rPr>
                <w:rFonts w:ascii="仿宋_GB2312" w:hAnsi="仿宋_GB2312" w:eastAsia="仿宋_GB2312" w:cs="仿宋_GB2312"/>
                <w:bCs/>
                <w:color w:val="000000"/>
                <w:spacing w:val="6"/>
                <w:szCs w:val="28"/>
              </w:rPr>
              <w:t xml:space="preserve">2. </w:t>
            </w:r>
            <w:r>
              <w:rPr>
                <w:rFonts w:hint="eastAsia" w:ascii="仿宋_GB2312" w:hAnsi="仿宋_GB2312" w:eastAsia="仿宋_GB2312" w:cs="仿宋_GB2312"/>
                <w:bCs/>
                <w:color w:val="000000"/>
                <w:spacing w:val="6"/>
                <w:szCs w:val="28"/>
              </w:rPr>
              <w:t>验证充分性（</w:t>
            </w:r>
            <w:r>
              <w:rPr>
                <w:rFonts w:ascii="仿宋_GB2312" w:hAnsi="仿宋_GB2312" w:eastAsia="仿宋_GB2312" w:cs="仿宋_GB2312"/>
                <w:bCs/>
                <w:color w:val="000000"/>
                <w:spacing w:val="6"/>
                <w:szCs w:val="28"/>
              </w:rPr>
              <w:t>10</w:t>
            </w:r>
            <w:r>
              <w:rPr>
                <w:rFonts w:hint="eastAsia" w:ascii="仿宋_GB2312" w:hAnsi="仿宋_GB2312" w:eastAsia="仿宋_GB2312" w:cs="仿宋_GB2312"/>
                <w:bCs/>
                <w:color w:val="000000"/>
                <w:spacing w:val="6"/>
                <w:szCs w:val="28"/>
              </w:rPr>
              <w:t>分）：是否设计了具体、可操作的验证场景，并给出了预期的验证结果和评估指标。</w:t>
            </w:r>
          </w:p>
          <w:p w14:paraId="20C00F76">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【应用潜力】</w:t>
            </w:r>
          </w:p>
          <w:p w14:paraId="031DD3C6">
            <w:pPr>
              <w:overflowPunct w:val="0"/>
              <w:adjustRightInd w:val="0"/>
              <w:snapToGrid w:val="0"/>
              <w:ind w:firstLine="504" w:firstLineChars="200"/>
              <w:rPr>
                <w:rFonts w:ascii="仿宋_GB2312" w:hAnsi="仿宋_GB2312" w:eastAsia="仿宋_GB2312" w:cs="仿宋_GB2312"/>
                <w:bCs/>
                <w:color w:val="000000"/>
                <w:spacing w:val="6"/>
                <w:szCs w:val="28"/>
              </w:rPr>
            </w:pPr>
            <w:r>
              <w:rPr>
                <w:rFonts w:ascii="仿宋_GB2312" w:hAnsi="仿宋_GB2312" w:eastAsia="仿宋_GB2312" w:cs="仿宋_GB2312"/>
                <w:bCs/>
                <w:color w:val="000000"/>
                <w:spacing w:val="6"/>
                <w:szCs w:val="28"/>
              </w:rPr>
              <w:t xml:space="preserve">1. </w:t>
            </w:r>
            <w:r>
              <w:rPr>
                <w:rFonts w:hint="eastAsia" w:ascii="仿宋_GB2312" w:hAnsi="仿宋_GB2312" w:eastAsia="仿宋_GB2312" w:cs="仿宋_GB2312"/>
                <w:bCs/>
                <w:color w:val="000000"/>
                <w:spacing w:val="6"/>
                <w:szCs w:val="28"/>
              </w:rPr>
              <w:t>场景契合度（</w:t>
            </w:r>
            <w:r>
              <w:rPr>
                <w:rFonts w:ascii="仿宋_GB2312" w:hAnsi="仿宋_GB2312" w:eastAsia="仿宋_GB2312" w:cs="仿宋_GB2312"/>
                <w:bCs/>
                <w:color w:val="000000"/>
                <w:spacing w:val="6"/>
                <w:szCs w:val="28"/>
              </w:rPr>
              <w:t>10</w:t>
            </w:r>
            <w:r>
              <w:rPr>
                <w:rFonts w:hint="eastAsia" w:ascii="仿宋_GB2312" w:hAnsi="仿宋_GB2312" w:eastAsia="仿宋_GB2312" w:cs="仿宋_GB2312"/>
                <w:bCs/>
                <w:color w:val="000000"/>
                <w:spacing w:val="6"/>
                <w:szCs w:val="28"/>
              </w:rPr>
              <w:t>分）：方案是否精准针对智能网联汽车示范区、自动驾驶测试场等实际场景的安全痛点。</w:t>
            </w:r>
          </w:p>
          <w:p w14:paraId="3F7D528B">
            <w:pPr>
              <w:overflowPunct w:val="0"/>
              <w:adjustRightInd w:val="0"/>
              <w:snapToGrid w:val="0"/>
              <w:ind w:firstLine="504" w:firstLineChars="200"/>
              <w:rPr>
                <w:rFonts w:ascii="仿宋_GB2312" w:hAnsi="仿宋_GB2312" w:eastAsia="仿宋_GB2312" w:cs="仿宋_GB2312"/>
                <w:bCs/>
                <w:color w:val="000000"/>
                <w:spacing w:val="6"/>
                <w:szCs w:val="28"/>
              </w:rPr>
            </w:pPr>
            <w:r>
              <w:rPr>
                <w:rFonts w:ascii="仿宋_GB2312" w:hAnsi="仿宋_GB2312" w:eastAsia="仿宋_GB2312" w:cs="仿宋_GB2312"/>
                <w:bCs/>
                <w:color w:val="000000"/>
                <w:spacing w:val="6"/>
                <w:szCs w:val="28"/>
              </w:rPr>
              <w:t xml:space="preserve">2. </w:t>
            </w:r>
            <w:r>
              <w:rPr>
                <w:rFonts w:hint="eastAsia" w:ascii="仿宋_GB2312" w:hAnsi="仿宋_GB2312" w:eastAsia="仿宋_GB2312" w:cs="仿宋_GB2312"/>
                <w:bCs/>
                <w:color w:val="000000"/>
                <w:spacing w:val="6"/>
                <w:szCs w:val="28"/>
              </w:rPr>
              <w:t>扩展性（</w:t>
            </w:r>
            <w:r>
              <w:rPr>
                <w:rFonts w:ascii="仿宋_GB2312" w:hAnsi="仿宋_GB2312" w:eastAsia="仿宋_GB2312" w:cs="仿宋_GB2312"/>
                <w:bCs/>
                <w:color w:val="000000"/>
                <w:spacing w:val="6"/>
                <w:szCs w:val="28"/>
              </w:rPr>
              <w:t>5</w:t>
            </w:r>
            <w:r>
              <w:rPr>
                <w:rFonts w:hint="eastAsia" w:ascii="仿宋_GB2312" w:hAnsi="仿宋_GB2312" w:eastAsia="仿宋_GB2312" w:cs="仿宋_GB2312"/>
                <w:bCs/>
                <w:color w:val="000000"/>
                <w:spacing w:val="6"/>
                <w:szCs w:val="28"/>
              </w:rPr>
              <w:t>分）：方案架构是否模块化，能否便捷地集成新的检测规则或适配新的车型。</w:t>
            </w:r>
          </w:p>
        </w:tc>
      </w:tr>
      <w:tr w14:paraId="35BC17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930F712">
            <w:pPr>
              <w:overflowPunct w:val="0"/>
              <w:adjustRightInd w:val="0"/>
              <w:snapToGrid w:val="0"/>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EF858D7">
            <w:pPr>
              <w:overflowPunct w:val="0"/>
              <w:adjustRightInd w:val="0"/>
              <w:snapToGrid w:val="0"/>
              <w:ind w:firstLine="480"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color w:val="000000"/>
              </w:rPr>
              <w:t>无。</w:t>
            </w:r>
          </w:p>
        </w:tc>
      </w:tr>
    </w:tbl>
    <w:p w14:paraId="66F1E866">
      <w:pPr>
        <w:tabs>
          <w:tab w:val="left" w:pos="8640"/>
        </w:tabs>
        <w:adjustRightInd w:val="0"/>
        <w:snapToGrid w:val="0"/>
        <w:spacing w:line="440" w:lineRule="exact"/>
        <w:rPr>
          <w:rFonts w:ascii="方正黑体简体" w:eastAsia="方正黑体简体"/>
          <w:bCs/>
          <w:spacing w:val="6"/>
          <w:sz w:val="32"/>
          <w:szCs w:val="32"/>
        </w:rPr>
      </w:pPr>
      <w:r>
        <w:rPr>
          <w:rFonts w:hint="eastAsia" w:ascii="方正黑体简体" w:eastAsia="方正黑体简体"/>
          <w:bCs/>
          <w:spacing w:val="6"/>
          <w:sz w:val="32"/>
          <w:szCs w:val="32"/>
        </w:rPr>
        <w:t>三、激励保障</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706398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0"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906FF85">
            <w:pPr>
              <w:adjustRightInd w:val="0"/>
              <w:snapToGrid w:val="0"/>
              <w:spacing w:line="560" w:lineRule="exact"/>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lang w:val="en-US"/>
              </w:rPr>
              <w:t>保障</w:t>
            </w:r>
            <w:r>
              <w:rPr>
                <w:rFonts w:hint="eastAsia" w:ascii="楷体_GB2312" w:hAnsi="楷体_GB2312" w:eastAsia="楷体_GB2312" w:cs="楷体_GB2312"/>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2CD9CA4">
            <w:pPr>
              <w:adjustRightInd w:val="0"/>
              <w:snapToGrid w:val="0"/>
              <w:ind w:firstLine="504" w:firstLineChars="200"/>
              <w:jc w:val="both"/>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lang w:val="en-US"/>
              </w:rPr>
              <w:t>单位配备专业技术人员，举办线上讲座，解读真实环境下的安全需求与挑战，帮助团队理解应用背景。落实时间：赛题发布后</w:t>
            </w:r>
            <w:r>
              <w:rPr>
                <w:rFonts w:ascii="仿宋_GB2312" w:hAnsi="仿宋_GB2312" w:eastAsia="仿宋_GB2312" w:cs="仿宋_GB2312"/>
                <w:bCs/>
                <w:color w:val="000000"/>
                <w:spacing w:val="6"/>
                <w:szCs w:val="28"/>
                <w:lang w:val="en-US"/>
              </w:rPr>
              <w:t>1</w:t>
            </w:r>
            <w:r>
              <w:rPr>
                <w:rFonts w:hint="eastAsia" w:ascii="仿宋_GB2312" w:hAnsi="仿宋_GB2312" w:eastAsia="仿宋_GB2312" w:cs="仿宋_GB2312"/>
                <w:bCs/>
                <w:color w:val="000000"/>
                <w:spacing w:val="6"/>
                <w:szCs w:val="28"/>
                <w:lang w:val="en-US"/>
              </w:rPr>
              <w:t>个月内。</w:t>
            </w:r>
          </w:p>
        </w:tc>
      </w:tr>
      <w:tr w14:paraId="259637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3BD18F2">
            <w:pPr>
              <w:adjustRightInd w:val="0"/>
              <w:snapToGrid w:val="0"/>
              <w:spacing w:line="560" w:lineRule="exact"/>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8EC5080">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一、奖项设置</w:t>
            </w:r>
          </w:p>
          <w:p w14:paraId="77182DAC">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eastAsia="zh-CN"/>
              </w:rPr>
              <w:t>原则上设“擂主”团队1个，</w:t>
            </w:r>
            <w:r>
              <w:rPr>
                <w:rFonts w:hint="eastAsia" w:ascii="仿宋_GB2312" w:hAnsi="仿宋_GB2312" w:eastAsia="仿宋_GB2312" w:cs="仿宋_GB2312"/>
                <w:bCs/>
                <w:color w:val="000000"/>
                <w:spacing w:val="6"/>
                <w:szCs w:val="28"/>
                <w:lang w:val="en-US"/>
              </w:rPr>
              <w:t>根据实际情况评出相应的特等奖、一等奖、二等奖、三等奖项目若干。</w:t>
            </w:r>
          </w:p>
          <w:p w14:paraId="59C0D94A">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二、 激励措施</w:t>
            </w:r>
          </w:p>
          <w:p w14:paraId="572BD492">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提供与相关行业企业的深度合作和创业实践机会，帮助团队将项目转化为实际应用。</w:t>
            </w:r>
          </w:p>
          <w:p w14:paraId="78CBACCC">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颁发奖杯和证书，在宣传推广、培训指导、交流展示人才招聘、创投对接等方面给予优先扶持。</w:t>
            </w:r>
          </w:p>
          <w:p w14:paraId="4E8F935E">
            <w:pPr>
              <w:adjustRightInd w:val="0"/>
              <w:snapToGrid w:val="0"/>
              <w:ind w:firstLine="504" w:firstLineChars="200"/>
              <w:jc w:val="both"/>
              <w:rPr>
                <w:rFonts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注：以上所有奖励措施均以培养人才、激励创新为目的，不附带任何商业捆绑条件，不要求获奖团队转让知识产权或必须入职某指定企业。参赛学生享有其作品的全部知识产权，并自愿决定是否参与后续的实习或孵化。</w:t>
            </w:r>
          </w:p>
        </w:tc>
      </w:tr>
    </w:tbl>
    <w:p w14:paraId="0F4739EE">
      <w:pPr>
        <w:tabs>
          <w:tab w:val="left" w:pos="8640"/>
        </w:tabs>
        <w:adjustRightInd w:val="0"/>
        <w:snapToGrid w:val="0"/>
        <w:spacing w:line="560" w:lineRule="exact"/>
        <w:rPr>
          <w:rFonts w:hint="eastAsia" w:ascii="方正黑体简体" w:eastAsia="方正黑体简体"/>
          <w:bCs/>
          <w:spacing w:val="6"/>
          <w:sz w:val="32"/>
          <w:szCs w:val="32"/>
          <w:lang w:val="en-US"/>
        </w:rPr>
      </w:pPr>
    </w:p>
    <w:p w14:paraId="5CDBFDDD">
      <w:pPr>
        <w:tabs>
          <w:tab w:val="left" w:pos="8640"/>
        </w:tabs>
        <w:adjustRightInd w:val="0"/>
        <w:snapToGrid w:val="0"/>
        <w:spacing w:line="560" w:lineRule="exact"/>
        <w:rPr>
          <w:rFonts w:hint="eastAsia" w:ascii="方正黑体简体" w:eastAsia="方正黑体简体"/>
          <w:bCs/>
          <w:spacing w:val="6"/>
          <w:sz w:val="32"/>
          <w:szCs w:val="32"/>
          <w:lang w:val="en-US"/>
        </w:rPr>
      </w:pPr>
    </w:p>
    <w:p w14:paraId="6134F72A">
      <w:pPr>
        <w:tabs>
          <w:tab w:val="left" w:pos="8640"/>
        </w:tabs>
        <w:adjustRightInd w:val="0"/>
        <w:snapToGrid w:val="0"/>
        <w:spacing w:line="560" w:lineRule="exact"/>
        <w:rPr>
          <w:rFonts w:hint="eastAsia" w:ascii="方正黑体简体" w:eastAsia="方正黑体简体"/>
          <w:bCs/>
          <w:spacing w:val="6"/>
          <w:sz w:val="32"/>
          <w:szCs w:val="32"/>
          <w:lang w:val="en-US"/>
        </w:rPr>
      </w:pPr>
    </w:p>
    <w:p w14:paraId="0E6E4960">
      <w:pPr>
        <w:tabs>
          <w:tab w:val="left" w:pos="8640"/>
        </w:tabs>
        <w:adjustRightInd w:val="0"/>
        <w:snapToGrid w:val="0"/>
        <w:spacing w:line="560" w:lineRule="exact"/>
        <w:rPr>
          <w:rFonts w:ascii="方正黑体简体" w:eastAsia="方正黑体简体"/>
          <w:bCs/>
          <w:spacing w:val="6"/>
          <w:sz w:val="32"/>
          <w:szCs w:val="32"/>
          <w:lang w:val="en-US"/>
        </w:rPr>
      </w:pPr>
      <w:r>
        <w:rPr>
          <w:rFonts w:hint="eastAsia" w:ascii="方正黑体简体" w:eastAsia="方正黑体简体"/>
          <w:bCs/>
          <w:spacing w:val="6"/>
          <w:sz w:val="32"/>
          <w:szCs w:val="32"/>
          <w:lang w:val="en-US"/>
        </w:rPr>
        <w:t>四、选题意义</w:t>
      </w:r>
    </w:p>
    <w:tbl>
      <w:tblPr>
        <w:tblStyle w:val="1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526D2E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741841E2">
            <w:pPr>
              <w:overflowPunct w:val="0"/>
              <w:adjustRightInd w:val="0"/>
              <w:snapToGrid w:val="0"/>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45902E">
            <w:pPr>
              <w:overflowPunct w:val="0"/>
              <w:adjustRightInd w:val="0"/>
              <w:snapToGrid w:val="0"/>
              <w:ind w:firstLine="504"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当前，高阶自动驾驶的感知系统严重依赖高精地图与固定交通设施识别，但在中国乃至全球复杂的城市道路环境中，交警、养路工人等道路作业人员的现场指挥是保障交通有序与安全的核心且不可缺失的环节。无人车若无法理解此类动态、非标准化的生物指令，其安全运行域将存在根本性缺陷。本项目的成功实施，将填补自动驾驶在人车直接交互（</w:t>
            </w:r>
            <w:r>
              <w:rPr>
                <w:rFonts w:ascii="仿宋_GB2312" w:hAnsi="仿宋_GB2312" w:eastAsia="仿宋_GB2312" w:cs="仿宋_GB2312"/>
                <w:bCs/>
                <w:color w:val="000000"/>
                <w:spacing w:val="6"/>
                <w:szCs w:val="28"/>
              </w:rPr>
              <w:t>V2P</w:t>
            </w:r>
            <w:r>
              <w:rPr>
                <w:rFonts w:hint="eastAsia" w:ascii="仿宋_GB2312" w:hAnsi="仿宋_GB2312" w:eastAsia="仿宋_GB2312" w:cs="仿宋_GB2312"/>
                <w:bCs/>
                <w:color w:val="000000"/>
                <w:spacing w:val="6"/>
                <w:szCs w:val="28"/>
              </w:rPr>
              <w:t>高级形式）</w:t>
            </w:r>
            <w:r>
              <w:rPr>
                <w:rFonts w:ascii="仿宋_GB2312" w:hAnsi="仿宋_GB2312" w:eastAsia="仿宋_GB2312" w:cs="仿宋_GB2312"/>
                <w:bCs/>
                <w:color w:val="000000"/>
                <w:spacing w:val="6"/>
                <w:szCs w:val="28"/>
              </w:rPr>
              <w:t xml:space="preserve"> </w:t>
            </w:r>
            <w:r>
              <w:rPr>
                <w:rFonts w:hint="eastAsia" w:ascii="仿宋_GB2312" w:hAnsi="仿宋_GB2312" w:eastAsia="仿宋_GB2312" w:cs="仿宋_GB2312"/>
                <w:bCs/>
                <w:color w:val="000000"/>
                <w:spacing w:val="6"/>
                <w:szCs w:val="28"/>
              </w:rPr>
              <w:t>这一关键环节的能力空白，是推动</w:t>
            </w:r>
            <w:r>
              <w:rPr>
                <w:rFonts w:ascii="仿宋_GB2312" w:hAnsi="仿宋_GB2312" w:eastAsia="仿宋_GB2312" w:cs="仿宋_GB2312"/>
                <w:bCs/>
                <w:color w:val="000000"/>
                <w:spacing w:val="6"/>
                <w:szCs w:val="28"/>
              </w:rPr>
              <w:t>L4</w:t>
            </w:r>
            <w:r>
              <w:rPr>
                <w:rFonts w:hint="eastAsia" w:ascii="仿宋_GB2312" w:hAnsi="仿宋_GB2312" w:eastAsia="仿宋_GB2312" w:cs="仿宋_GB2312"/>
                <w:bCs/>
                <w:color w:val="000000"/>
                <w:spacing w:val="6"/>
                <w:szCs w:val="28"/>
              </w:rPr>
              <w:t>级自动驾驶真正走向全场景落地必须突破的技术瓶颈之一。</w:t>
            </w:r>
          </w:p>
          <w:p w14:paraId="6B636F42">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项目不仅要求高精度的静态手势分类，更要求在对动态、连续手势序列进行时空建模的基础上，理解其指挥意图。这涉及复杂场景下的轻量化视觉感知、时序行为理解与实时决策推理的深度融合，是计算机视觉与边缘智能领域的尖端挑战。项目成果将推动小样本学习、模型轻量化、时序动作识别等前沿算法在真实产业场景中的验证与优化。</w:t>
            </w:r>
          </w:p>
        </w:tc>
      </w:tr>
      <w:tr w14:paraId="7CCFAE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466818">
            <w:pPr>
              <w:overflowPunct w:val="0"/>
              <w:adjustRightInd w:val="0"/>
              <w:snapToGrid w:val="0"/>
              <w:jc w:val="center"/>
              <w:rPr>
                <w:rFonts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B8FD47">
            <w:pPr>
              <w:overflowPunct w:val="0"/>
              <w:adjustRightInd w:val="0"/>
              <w:snapToGrid w:val="0"/>
              <w:ind w:firstLine="506"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
                <w:color w:val="000000"/>
                <w:spacing w:val="6"/>
                <w:szCs w:val="28"/>
              </w:rPr>
              <w:t>提升产业核心竞争力与安全性标准</w:t>
            </w:r>
            <w:r>
              <w:rPr>
                <w:rFonts w:hint="eastAsia" w:ascii="仿宋_GB2312" w:hAnsi="仿宋_GB2312" w:eastAsia="仿宋_GB2312" w:cs="仿宋_GB2312"/>
                <w:bCs/>
                <w:color w:val="000000"/>
                <w:spacing w:val="6"/>
                <w:szCs w:val="28"/>
              </w:rPr>
              <w:t>：为国内自动驾驶解决方案提供商和整车企业提供一项关键的差异化技术模块，增强国产自动驾驶系统应对中国复杂路况的完整能力。推动行业建立针对动态交通参与者交互的新的安全测试标准与法规，从技术层面降低因误判导致的交通事故风险，提升公众对自动驾驶技术的信任度。</w:t>
            </w:r>
          </w:p>
          <w:p w14:paraId="1E9D34D9">
            <w:pPr>
              <w:overflowPunct w:val="0"/>
              <w:adjustRightInd w:val="0"/>
              <w:snapToGrid w:val="0"/>
              <w:ind w:firstLine="506"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
                <w:color w:val="000000"/>
                <w:spacing w:val="6"/>
                <w:szCs w:val="28"/>
              </w:rPr>
              <w:t>创造显著的经济价值</w:t>
            </w:r>
            <w:r>
              <w:rPr>
                <w:rFonts w:hint="eastAsia" w:ascii="仿宋_GB2312" w:hAnsi="仿宋_GB2312" w:eastAsia="仿宋_GB2312" w:cs="仿宋_GB2312"/>
                <w:bCs/>
                <w:color w:val="000000"/>
                <w:spacing w:val="6"/>
                <w:szCs w:val="28"/>
              </w:rPr>
              <w:t>：形成可商业化的软件</w:t>
            </w:r>
            <w:r>
              <w:rPr>
                <w:rFonts w:ascii="仿宋_GB2312" w:hAnsi="仿宋_GB2312" w:eastAsia="仿宋_GB2312" w:cs="仿宋_GB2312"/>
                <w:bCs/>
                <w:color w:val="000000"/>
                <w:spacing w:val="6"/>
                <w:szCs w:val="28"/>
              </w:rPr>
              <w:t>IP</w:t>
            </w:r>
            <w:r>
              <w:rPr>
                <w:rFonts w:hint="eastAsia" w:ascii="仿宋_GB2312" w:hAnsi="仿宋_GB2312" w:eastAsia="仿宋_GB2312" w:cs="仿宋_GB2312"/>
                <w:bCs/>
                <w:color w:val="000000"/>
                <w:spacing w:val="6"/>
                <w:szCs w:val="28"/>
              </w:rPr>
              <w:t>或车载感知模块，服务于前装量产及后装改造市场。核心技术可迁移至更广泛的领域，如机器人对人类引导手势的理解、特殊工矿场景下的人机交互、智慧安防中的特定行为识别等，开拓新的技术应用市场。</w:t>
            </w:r>
          </w:p>
          <w:p w14:paraId="5C8F3234">
            <w:pPr>
              <w:overflowPunct w:val="0"/>
              <w:adjustRightInd w:val="0"/>
              <w:snapToGrid w:val="0"/>
              <w:ind w:firstLine="506" w:firstLineChars="200"/>
              <w:rPr>
                <w:rFonts w:ascii="仿宋_GB2312" w:hAnsi="仿宋_GB2312" w:eastAsia="仿宋_GB2312" w:cs="仿宋_GB2312"/>
                <w:bCs/>
                <w:color w:val="000000"/>
                <w:spacing w:val="6"/>
                <w:szCs w:val="28"/>
              </w:rPr>
            </w:pPr>
            <w:r>
              <w:rPr>
                <w:rFonts w:hint="eastAsia" w:ascii="仿宋_GB2312" w:hAnsi="仿宋_GB2312" w:eastAsia="仿宋_GB2312" w:cs="仿宋_GB2312"/>
                <w:b/>
                <w:color w:val="000000"/>
                <w:spacing w:val="6"/>
                <w:szCs w:val="28"/>
              </w:rPr>
              <w:t>赋能智慧城市建设与社会治理</w:t>
            </w:r>
            <w:r>
              <w:rPr>
                <w:rFonts w:hint="eastAsia" w:ascii="仿宋_GB2312" w:hAnsi="仿宋_GB2312" w:eastAsia="仿宋_GB2312" w:cs="仿宋_GB2312"/>
                <w:bCs/>
                <w:color w:val="000000"/>
                <w:spacing w:val="6"/>
                <w:szCs w:val="28"/>
              </w:rPr>
              <w:t>：使无人驾驶车辆能无缝融入由人工指挥的交通流，在信号失灵等情况下维持路口通行效率，减少拥堵。为特种车辆（如消防、救护）的自动驾驶在紧急通行时，提供理解交警手动疏导指令的能力，保障生命通道畅通。作为智能交通关键感知技术，其自主研发有助于保障我国未来交通基础设施的技术安全与数据主权。</w:t>
            </w:r>
          </w:p>
        </w:tc>
      </w:tr>
    </w:tbl>
    <w:p w14:paraId="536F8A2F">
      <w:pPr>
        <w:rPr>
          <w:rFonts w:hint="eastAsia" w:ascii="楷体_GB2312" w:hAnsi="楷体_GB2312" w:eastAsia="楷体_GB2312" w:cs="楷体_GB2312"/>
        </w:rPr>
      </w:pPr>
      <w:r>
        <w:rPr>
          <w:rFonts w:hint="eastAsia" w:ascii="楷体_GB2312" w:hAnsi="楷体_GB2312" w:eastAsia="楷体_GB2312" w:cs="楷体_GB2312"/>
        </w:rPr>
        <w:br w:type="page"/>
      </w:r>
    </w:p>
    <w:p w14:paraId="18B315FF">
      <w:pPr>
        <w:rPr>
          <w:rFonts w:hint="eastAsia" w:ascii="楷体_GB2312" w:hAnsi="楷体_GB2312" w:eastAsia="楷体_GB2312" w:cs="楷体_GB2312"/>
        </w:rPr>
      </w:pPr>
    </w:p>
    <w:p w14:paraId="58834C33">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“青智未来”新质生产力</w:t>
      </w:r>
      <w:r>
        <w:rPr>
          <w:rFonts w:hint="default" w:ascii="Times New Roman" w:hAnsi="Times New Roman" w:eastAsia="方正小标宋简体" w:cs="Times New Roman"/>
          <w:b w:val="0"/>
          <w:bCs/>
          <w:kern w:val="2"/>
          <w:sz w:val="44"/>
          <w:szCs w:val="32"/>
          <w:highlight w:val="none"/>
          <w:lang w:val="en-US" w:eastAsia="zh-CN"/>
        </w:rPr>
        <w:t>专项赛</w:t>
      </w:r>
    </w:p>
    <w:p w14:paraId="07EA34A1">
      <w:pPr>
        <w:keepNext w:val="0"/>
        <w:keepLines w:val="0"/>
        <w:pageBreakBefore w:val="0"/>
        <w:widowControl w:val="0"/>
        <w:tabs>
          <w:tab w:val="left" w:pos="8640"/>
        </w:tabs>
        <w:kinsoku/>
        <w:wordWrap w:val="0"/>
        <w:topLinePunct w:val="0"/>
        <w:autoSpaceDE/>
        <w:autoSpaceDN/>
        <w:bidi w:val="0"/>
        <w:adjustRightInd w:val="0"/>
        <w:snapToGrid w:val="0"/>
        <w:spacing w:line="560" w:lineRule="exact"/>
        <w:jc w:val="center"/>
        <w:rPr>
          <w:rFonts w:hint="default" w:ascii="Times New Roman" w:hAnsi="Times New Roman" w:eastAsia="方正小标宋简体" w:cs="Times New Roman"/>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w:t>
      </w:r>
      <w:r>
        <w:rPr>
          <w:rFonts w:hint="eastAsia" w:eastAsia="方正小标宋简体" w:cs="方正小标宋简体"/>
          <w:b w:val="0"/>
          <w:bCs/>
          <w:kern w:val="2"/>
          <w:sz w:val="44"/>
          <w:szCs w:val="32"/>
          <w:highlight w:val="none"/>
          <w:lang w:val="en-US" w:eastAsia="zh-CN"/>
        </w:rPr>
        <w:t>19</w:t>
      </w:r>
    </w:p>
    <w:p w14:paraId="2B951359">
      <w:pPr>
        <w:keepNext w:val="0"/>
        <w:keepLines w:val="0"/>
        <w:pageBreakBefore w:val="0"/>
        <w:widowControl w:val="0"/>
        <w:tabs>
          <w:tab w:val="left" w:pos="8640"/>
        </w:tabs>
        <w:kinsoku/>
        <w:wordWrap w:val="0"/>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b w:val="0"/>
          <w:bCs/>
          <w:kern w:val="2"/>
          <w:sz w:val="32"/>
          <w:szCs w:val="22"/>
          <w:highlight w:val="none"/>
          <w:lang w:val="en-US" w:eastAsia="zh-CN"/>
        </w:rPr>
      </w:pPr>
    </w:p>
    <w:p w14:paraId="1FA08BC6">
      <w:pPr>
        <w:tabs>
          <w:tab w:val="left" w:pos="8640"/>
        </w:tabs>
        <w:adjustRightInd w:val="0"/>
        <w:snapToGrid w:val="0"/>
        <w:spacing w:line="560" w:lineRule="exact"/>
        <w:rPr>
          <w:rFonts w:ascii="方正楷体简体" w:hAnsi="方正楷体简体" w:eastAsia="方正楷体简体" w:cs="方正楷体简体"/>
          <w:bCs/>
          <w:color w:val="auto"/>
          <w:spacing w:val="6"/>
        </w:rPr>
      </w:pPr>
      <w:r>
        <w:rPr>
          <w:rFonts w:hint="eastAsia" w:ascii="方正黑体简体" w:eastAsia="方正黑体简体"/>
          <w:bCs/>
          <w:color w:val="auto"/>
          <w:spacing w:val="6"/>
          <w:sz w:val="32"/>
          <w:szCs w:val="32"/>
        </w:rPr>
        <w:t>一、单位信息</w:t>
      </w:r>
    </w:p>
    <w:tbl>
      <w:tblPr>
        <w:tblStyle w:val="11"/>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75C7F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363D370E">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单位名称</w:t>
            </w:r>
          </w:p>
        </w:tc>
        <w:tc>
          <w:tcPr>
            <w:tcW w:w="6932" w:type="dxa"/>
            <w:gridSpan w:val="3"/>
            <w:vAlign w:val="center"/>
          </w:tcPr>
          <w:p w14:paraId="31B7C220">
            <w:pPr>
              <w:adjustRightInd w:val="0"/>
              <w:snapToGrid w:val="0"/>
              <w:jc w:val="center"/>
              <w:rPr>
                <w:rFonts w:hint="default" w:ascii="仿宋_GB2312" w:hAnsi="仿宋_GB2312" w:eastAsia="仿宋_GB2312" w:cs="仿宋_GB2312"/>
                <w:color w:val="auto"/>
                <w:lang w:val="en-US"/>
              </w:rPr>
            </w:pPr>
            <w:r>
              <w:rPr>
                <w:rFonts w:hint="eastAsia" w:ascii="仿宋_GB2312" w:hAnsi="仿宋_GB2312" w:eastAsia="仿宋_GB2312" w:cs="仿宋_GB2312"/>
                <w:bCs/>
                <w:color w:val="auto"/>
                <w:spacing w:val="6"/>
                <w:szCs w:val="28"/>
                <w:lang w:val="en-US" w:eastAsia="zh-CN"/>
              </w:rPr>
              <w:t>四联创业集团股份有限公司</w:t>
            </w:r>
          </w:p>
        </w:tc>
      </w:tr>
      <w:tr w14:paraId="48925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40B8B3BC">
            <w:pPr>
              <w:adjustRightInd w:val="0"/>
              <w:snapToGrid w:val="0"/>
              <w:jc w:val="center"/>
              <w:rPr>
                <w:rFonts w:hint="eastAsia" w:ascii="楷体_GB2312" w:hAnsi="楷体_GB2312" w:eastAsia="楷体_GB2312" w:cs="楷体_GB2312"/>
                <w:bCs/>
                <w:color w:val="auto"/>
                <w:spacing w:val="6"/>
                <w:szCs w:val="28"/>
                <w:lang w:val="en-US"/>
              </w:rPr>
            </w:pPr>
            <w:r>
              <w:rPr>
                <w:rFonts w:hint="eastAsia" w:ascii="楷体_GB2312" w:hAnsi="楷体_GB2312" w:eastAsia="楷体_GB2312" w:cs="楷体_GB2312"/>
                <w:color w:val="auto"/>
                <w:sz w:val="28"/>
                <w:szCs w:val="32"/>
                <w:lang w:val="en-US"/>
              </w:rPr>
              <w:t>单位类型</w:t>
            </w:r>
          </w:p>
        </w:tc>
        <w:tc>
          <w:tcPr>
            <w:tcW w:w="6932" w:type="dxa"/>
            <w:gridSpan w:val="3"/>
            <w:vAlign w:val="center"/>
          </w:tcPr>
          <w:p w14:paraId="39C096CE">
            <w:pPr>
              <w:adjustRightInd w:val="0"/>
              <w:snapToGrid w:val="0"/>
              <w:jc w:val="center"/>
              <w:rPr>
                <w:rFonts w:hint="eastAsia" w:ascii="仿宋_GB2312" w:hAnsi="仿宋_GB2312" w:eastAsia="仿宋_GB2312" w:cs="仿宋_GB2312"/>
                <w:bCs/>
                <w:color w:val="auto"/>
                <w:spacing w:val="6"/>
                <w:szCs w:val="28"/>
                <w:lang w:val="en-US"/>
              </w:rPr>
            </w:pPr>
            <w:r>
              <w:rPr>
                <w:rFonts w:hint="eastAsia" w:ascii="仿宋_GB2312" w:hAnsi="仿宋_GB2312" w:eastAsia="仿宋_GB2312" w:cs="仿宋_GB2312"/>
                <w:bCs/>
                <w:color w:val="auto"/>
                <w:spacing w:val="6"/>
                <w:szCs w:val="28"/>
                <w:lang w:val="en-US"/>
              </w:rPr>
              <w:t>私营企业</w:t>
            </w:r>
          </w:p>
        </w:tc>
      </w:tr>
      <w:tr w14:paraId="132BC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1C69DF08">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地址</w:t>
            </w:r>
          </w:p>
        </w:tc>
        <w:tc>
          <w:tcPr>
            <w:tcW w:w="6932" w:type="dxa"/>
            <w:gridSpan w:val="3"/>
            <w:vAlign w:val="center"/>
          </w:tcPr>
          <w:p w14:paraId="3BF28C60">
            <w:pPr>
              <w:adjustRightInd w:val="0"/>
              <w:jc w:val="center"/>
              <w:rPr>
                <w:rFonts w:hint="default"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北京市房山区燕山东流水工业区7号</w:t>
            </w:r>
          </w:p>
        </w:tc>
      </w:tr>
      <w:tr w14:paraId="23222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1F3DD5BE">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lang w:val="en-US"/>
              </w:rPr>
              <w:t>单位</w:t>
            </w:r>
            <w:r>
              <w:rPr>
                <w:rFonts w:hint="eastAsia" w:ascii="楷体_GB2312" w:hAnsi="楷体_GB2312" w:eastAsia="楷体_GB2312" w:cs="楷体_GB2312"/>
                <w:color w:val="auto"/>
                <w:sz w:val="28"/>
                <w:szCs w:val="32"/>
              </w:rPr>
              <w:t>简介</w:t>
            </w:r>
          </w:p>
        </w:tc>
        <w:tc>
          <w:tcPr>
            <w:tcW w:w="6932" w:type="dxa"/>
            <w:gridSpan w:val="3"/>
            <w:vAlign w:val="center"/>
          </w:tcPr>
          <w:p w14:paraId="50FA4948">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四联创业集团股份有限公司（以下简称“四联创业”），注册资本11630万元，民营企业。集团现有员工人数约700人，2025年度实现营收438亿元（含税），年销量537万吨，年运输量达386万吨。</w:t>
            </w:r>
          </w:p>
          <w:p w14:paraId="60C6F491">
            <w:pPr>
              <w:adjustRightInd w:val="0"/>
              <w:snapToGrid w:val="0"/>
              <w:ind w:firstLine="504" w:firstLineChars="200"/>
              <w:jc w:val="both"/>
              <w:rPr>
                <w:rFonts w:hint="eastAsia" w:ascii="仿宋_GB2312" w:hAnsi="仿宋_GB2312" w:eastAsia="仿宋_GB2312" w:cs="仿宋_GB2312"/>
                <w:bCs/>
                <w:color w:val="auto"/>
                <w:spacing w:val="6"/>
                <w:szCs w:val="28"/>
              </w:rPr>
            </w:pPr>
            <w:r>
              <w:rPr>
                <w:rFonts w:hint="eastAsia" w:ascii="仿宋_GB2312" w:hAnsi="仿宋_GB2312" w:eastAsia="仿宋_GB2312" w:cs="仿宋_GB2312"/>
                <w:b w:val="0"/>
                <w:bCs/>
                <w:color w:val="000000"/>
                <w:spacing w:val="6"/>
                <w:szCs w:val="28"/>
                <w:lang w:val="en-US" w:eastAsia="zh-CN"/>
              </w:rPr>
              <w:t>四联创业成立于2001年，专注橡塑原材料分销服务24年，现已发展为国内领先的橡塑产业链流通服务商。2025年位列中国民营企业500强第362位、中国服务业民营企业100强第79位、北京市民营企业百强第19位，综合实力稳居行业前列。集团拥有2家“专精特新”“国家高新技术”企业，先后获评“第一批全国供应链创新与应用示范企业”、“上海期货交易所交割库”、“上期所‘强源助企’产融服务基地”、“大连商品交易所指定交割仓库”、“大连商品交易所优秀产融基地”等荣誉，是中石化、中石油、国家能源、中煤集团等行业龙头的核心战略合作伙伴。</w:t>
            </w:r>
          </w:p>
        </w:tc>
      </w:tr>
      <w:tr w14:paraId="1FC25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64711D1D">
            <w:pPr>
              <w:adjustRightInd w:val="0"/>
              <w:snapToGrid w:val="0"/>
              <w:ind w:firstLine="280" w:firstLineChars="100"/>
              <w:jc w:val="both"/>
              <w:rPr>
                <w:rFonts w:hint="eastAsia" w:ascii="楷体_GB2312" w:hAnsi="楷体_GB2312" w:eastAsia="楷体_GB2312" w:cs="楷体_GB2312"/>
                <w:bCs/>
                <w:color w:val="auto"/>
                <w:spacing w:val="6"/>
                <w:szCs w:val="28"/>
              </w:rPr>
            </w:pPr>
            <w:r>
              <w:rPr>
                <w:rFonts w:hint="eastAsia" w:ascii="楷体_GB2312" w:hAnsi="楷体_GB2312" w:eastAsia="楷体_GB2312" w:cs="楷体_GB2312"/>
                <w:color w:val="auto"/>
                <w:sz w:val="28"/>
                <w:szCs w:val="32"/>
                <w:lang w:val="en-US"/>
              </w:rPr>
              <w:t>联系人</w:t>
            </w:r>
          </w:p>
        </w:tc>
        <w:tc>
          <w:tcPr>
            <w:tcW w:w="3076" w:type="dxa"/>
            <w:vAlign w:val="center"/>
          </w:tcPr>
          <w:p w14:paraId="6EDA1AB5">
            <w:pPr>
              <w:adjustRightInd w:val="0"/>
              <w:snapToGrid w:val="0"/>
              <w:jc w:val="center"/>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马婉清</w:t>
            </w:r>
          </w:p>
        </w:tc>
        <w:tc>
          <w:tcPr>
            <w:tcW w:w="1073" w:type="dxa"/>
            <w:vAlign w:val="center"/>
          </w:tcPr>
          <w:p w14:paraId="26C2834B">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职务</w:t>
            </w:r>
          </w:p>
        </w:tc>
        <w:tc>
          <w:tcPr>
            <w:tcW w:w="2783" w:type="dxa"/>
            <w:vAlign w:val="center"/>
          </w:tcPr>
          <w:p w14:paraId="03A9BF13">
            <w:pPr>
              <w:adjustRightInd w:val="0"/>
              <w:snapToGrid w:val="0"/>
              <w:jc w:val="center"/>
              <w:rPr>
                <w:rFonts w:hint="default"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文化培训主管</w:t>
            </w:r>
          </w:p>
        </w:tc>
      </w:tr>
      <w:tr w14:paraId="6ACD5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24F3BC46">
            <w:pPr>
              <w:adjustRightInd w:val="0"/>
              <w:snapToGrid w:val="0"/>
              <w:jc w:val="center"/>
              <w:rPr>
                <w:rFonts w:hint="eastAsia" w:ascii="楷体_GB2312" w:hAnsi="楷体_GB2312" w:eastAsia="楷体_GB2312" w:cs="楷体_GB2312"/>
                <w:bCs/>
                <w:color w:val="auto"/>
                <w:spacing w:val="6"/>
                <w:szCs w:val="28"/>
                <w:lang w:val="en-US" w:eastAsia="zh-CN"/>
              </w:rPr>
            </w:pPr>
            <w:r>
              <w:rPr>
                <w:rFonts w:hint="eastAsia" w:ascii="楷体_GB2312" w:hAnsi="楷体_GB2312" w:eastAsia="楷体_GB2312" w:cs="楷体_GB2312"/>
                <w:color w:val="auto"/>
                <w:sz w:val="28"/>
                <w:szCs w:val="32"/>
                <w:lang w:val="en-US" w:eastAsia="zh-CN"/>
              </w:rPr>
              <w:t>联系方式</w:t>
            </w:r>
          </w:p>
        </w:tc>
        <w:tc>
          <w:tcPr>
            <w:tcW w:w="3076" w:type="dxa"/>
            <w:vAlign w:val="center"/>
          </w:tcPr>
          <w:p w14:paraId="44682CB1">
            <w:pPr>
              <w:adjustRightInd w:val="0"/>
              <w:snapToGrid w:val="0"/>
              <w:jc w:val="center"/>
              <w:rPr>
                <w:rFonts w:hint="default"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13121052748</w:t>
            </w:r>
          </w:p>
        </w:tc>
        <w:tc>
          <w:tcPr>
            <w:tcW w:w="1073" w:type="dxa"/>
            <w:vAlign w:val="center"/>
          </w:tcPr>
          <w:p w14:paraId="5F109793">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微信</w:t>
            </w:r>
          </w:p>
        </w:tc>
        <w:tc>
          <w:tcPr>
            <w:tcW w:w="2783" w:type="dxa"/>
            <w:vAlign w:val="center"/>
          </w:tcPr>
          <w:p w14:paraId="2705DB25">
            <w:pPr>
              <w:adjustRightInd w:val="0"/>
              <w:snapToGrid w:val="0"/>
              <w:jc w:val="center"/>
              <w:rPr>
                <w:rFonts w:hint="default"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13121052748</w:t>
            </w:r>
          </w:p>
        </w:tc>
      </w:tr>
    </w:tbl>
    <w:p w14:paraId="2A594D47">
      <w:pPr>
        <w:tabs>
          <w:tab w:val="left" w:pos="8640"/>
        </w:tabs>
        <w:adjustRightInd w:val="0"/>
        <w:snapToGrid w:val="0"/>
        <w:spacing w:line="560" w:lineRule="exact"/>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二、选题说明</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6F786B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98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C3193A1">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选题</w:t>
            </w:r>
            <w:r>
              <w:rPr>
                <w:rFonts w:hint="eastAsia" w:ascii="楷体_GB2312" w:hAnsi="楷体_GB2312" w:eastAsia="楷体_GB2312" w:cs="楷体_GB2312"/>
                <w:b w:val="0"/>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21C3F2A">
            <w:pPr>
              <w:adjustRightInd w:val="0"/>
              <w:snapToGrid w:val="0"/>
              <w:jc w:val="both"/>
              <w:rPr>
                <w:rFonts w:hint="eastAsia" w:ascii="仿宋_GB2312" w:hAnsi="仿宋_GB2312" w:eastAsia="仿宋_GB2312" w:cs="仿宋_GB2312"/>
                <w:b w:val="0"/>
                <w:color w:val="000000"/>
              </w:rPr>
            </w:pPr>
            <w:r>
              <w:rPr>
                <w:rFonts w:hint="eastAsia" w:ascii="仿宋_GB2312" w:hAnsi="仿宋_GB2312" w:eastAsia="仿宋_GB2312" w:cs="仿宋_GB2312"/>
                <w:b w:val="0"/>
                <w:bCs/>
                <w:color w:val="000000"/>
                <w:spacing w:val="6"/>
                <w:szCs w:val="28"/>
                <w:lang w:eastAsia="zh-CN"/>
              </w:rPr>
              <w:t>“稳链护航”提升聚烯烃产业链韧性的金融创新解决方案</w:t>
            </w:r>
          </w:p>
        </w:tc>
      </w:tr>
      <w:tr w14:paraId="3786B4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8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BCB284E">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85812AB">
            <w:pPr>
              <w:adjustRightInd w:val="0"/>
              <w:snapToGrid w:val="0"/>
              <w:ind w:firstLine="504" w:firstLineChars="200"/>
              <w:jc w:val="both"/>
              <w:rPr>
                <w:rFonts w:hint="eastAsia" w:ascii="仿宋_GB2312" w:hAnsi="仿宋_GB2312" w:eastAsia="仿宋_GB2312" w:cs="仿宋_GB2312"/>
                <w:b w:val="0"/>
                <w:color w:val="000000"/>
                <w:lang w:eastAsia="zh-CN"/>
              </w:rPr>
            </w:pPr>
            <w:r>
              <w:rPr>
                <w:rFonts w:hint="eastAsia" w:ascii="仿宋_GB2312" w:hAnsi="仿宋_GB2312" w:eastAsia="仿宋_GB2312" w:cs="仿宋_GB2312"/>
                <w:b w:val="0"/>
                <w:bCs/>
                <w:color w:val="000000"/>
                <w:spacing w:val="6"/>
                <w:szCs w:val="28"/>
                <w:lang w:val="en-US" w:eastAsia="zh-CN"/>
              </w:rPr>
              <w:t>现在金融、</w:t>
            </w:r>
            <w:r>
              <w:rPr>
                <w:rFonts w:hint="eastAsia" w:ascii="仿宋_GB2312" w:hAnsi="仿宋_GB2312" w:eastAsia="仿宋_GB2312" w:cs="仿宋_GB2312"/>
                <w:b w:val="0"/>
                <w:bCs/>
                <w:color w:val="000000"/>
                <w:spacing w:val="6"/>
                <w:szCs w:val="28"/>
              </w:rPr>
              <w:t>新一代信息技术</w:t>
            </w:r>
          </w:p>
        </w:tc>
      </w:tr>
      <w:tr w14:paraId="5B1325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5618"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744DE1A">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FA3AB4D">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聚烯烃（如PP、PE）作为最重要的石化原料之一，其价格受原油、供需、宏观政策等多重因素影响，波动剧烈且频繁。产业链上的生产商、贸易商和下游工厂普遍面临“高价恐跌、低价恐涨”的库存价值风险和采购成本失控压力，严重影响了经营稳定性和产业链协同效率。传统期货套保工具专业性要求高，中小企业难以有效使用。</w:t>
            </w:r>
          </w:p>
          <w:p w14:paraId="77299EE8">
            <w:pPr>
              <w:adjustRightInd w:val="0"/>
              <w:snapToGrid w:val="0"/>
              <w:ind w:firstLine="504" w:firstLineChars="200"/>
              <w:jc w:val="both"/>
              <w:rPr>
                <w:rFonts w:hint="eastAsia" w:ascii="仿宋_GB2312" w:hAnsi="仿宋_GB2312" w:eastAsia="仿宋_GB2312" w:cs="仿宋_GB2312"/>
                <w:b w:val="0"/>
                <w:bCs/>
                <w:color w:val="000000"/>
                <w:spacing w:val="6"/>
                <w:szCs w:val="28"/>
                <w:highlight w:val="none"/>
                <w:lang w:val="en-US" w:eastAsia="zh-CN"/>
              </w:rPr>
            </w:pPr>
            <w:r>
              <w:rPr>
                <w:rFonts w:hint="eastAsia" w:ascii="仿宋_GB2312" w:hAnsi="仿宋_GB2312" w:eastAsia="仿宋_GB2312" w:cs="仿宋_GB2312"/>
                <w:b w:val="0"/>
                <w:bCs/>
                <w:color w:val="000000"/>
                <w:spacing w:val="6"/>
                <w:szCs w:val="28"/>
                <w:lang w:val="en-US" w:eastAsia="zh-CN"/>
              </w:rPr>
              <w:t>本题目要求参赛者设计一套以“含权贸易”为核心的综合性金融创新解决方案。该方案旨在将复杂的场外期权思想，转化为易于理解、便于操作的标准化或半标准化现货贸易条款，嵌入至真实的聚烯烃购销合同中（例</w:t>
            </w:r>
            <w:r>
              <w:rPr>
                <w:rFonts w:hint="eastAsia" w:ascii="仿宋_GB2312" w:hAnsi="仿宋_GB2312" w:eastAsia="仿宋_GB2312" w:cs="仿宋_GB2312"/>
                <w:b w:val="0"/>
                <w:bCs/>
                <w:color w:val="000000"/>
                <w:spacing w:val="6"/>
                <w:szCs w:val="28"/>
                <w:highlight w:val="none"/>
                <w:lang w:val="en-US" w:eastAsia="zh-CN"/>
              </w:rPr>
              <w:t>如：保价采购、封顶销售、区间结算等模式）。核心研究内容包括：1）设计一个轻量级的数字化对接平台（如小程序/Web原型）概念，用于展示产品、测算报价、模拟盈亏并辅助交易达成；2）设计针对不同风险场景的标准化含权贸易合约框架。最终，需通过真实或仿真的案例数据，验证该方案在管理价格风险、稳定企业盈利、增强产业链黏性方面的实际效果。</w:t>
            </w:r>
          </w:p>
          <w:p w14:paraId="652BE805">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本课题重在商业逻辑设计、产品创新与数字化交互验证，鼓励跨学科团队（金融、计算机、供应链）共同参与。</w:t>
            </w:r>
          </w:p>
        </w:tc>
      </w:tr>
      <w:tr w14:paraId="16E159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9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D6850AD">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6A8ACD8">
            <w:pPr>
              <w:numPr>
                <w:ilvl w:val="0"/>
                <w:numId w:val="5"/>
              </w:numPr>
              <w:adjustRightInd w:val="0"/>
              <w:snapToGrid w:val="0"/>
              <w:ind w:firstLine="504" w:firstLineChars="200"/>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提报形式：提交一份完整的《金融创新解决方案商业设计报告》、数字化平台原型（或高保真交互设计）及相关分析工具。</w:t>
            </w:r>
          </w:p>
          <w:p w14:paraId="6A9C820B">
            <w:pPr>
              <w:numPr>
                <w:ilvl w:val="0"/>
                <w:numId w:val="5"/>
              </w:numPr>
              <w:adjustRightInd w:val="0"/>
              <w:snapToGrid w:val="0"/>
              <w:ind w:firstLine="504" w:firstLineChars="200"/>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报告与原型内容：报告应包含产业痛点与市场分析、含权贸易产品详细设计（含制式合约核心条款）、解决方案的商业模式与运营流程、数字化平台的功能架构与用户旅程设计。必须提供基于历史行情或假设场景的完整案例模拟，展示合约如何触发、各方损益计算及风险管理效果。</w:t>
            </w:r>
          </w:p>
          <w:p w14:paraId="5C000B36">
            <w:pPr>
              <w:numPr>
                <w:ilvl w:val="0"/>
                <w:numId w:val="5"/>
              </w:numPr>
              <w:adjustRightInd w:val="0"/>
              <w:snapToGrid w:val="0"/>
              <w:ind w:firstLine="504" w:firstLineChars="200"/>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关键交付物：</w:t>
            </w:r>
          </w:p>
          <w:p w14:paraId="3FE6C3D9">
            <w:pPr>
              <w:numPr>
                <w:ilvl w:val="0"/>
                <w:numId w:val="0"/>
              </w:numPr>
              <w:adjustRightInd w:val="0"/>
              <w:snapToGrid w:val="0"/>
              <w:ind w:firstLine="504" w:firstLineChars="200"/>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（1）商业设计报告（核心）；</w:t>
            </w:r>
          </w:p>
          <w:p w14:paraId="3B48AB30">
            <w:pPr>
              <w:numPr>
                <w:ilvl w:val="0"/>
                <w:numId w:val="0"/>
              </w:numPr>
              <w:adjustRightInd w:val="0"/>
              <w:snapToGrid w:val="0"/>
              <w:ind w:firstLine="504" w:firstLineChars="200"/>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（2）数字化平台的可交互原型或详细UI/UX设计稿（需体现产品展示、报价测算、案例模拟等核心功能点）；</w:t>
            </w:r>
          </w:p>
          <w:p w14:paraId="35C705EF">
            <w:pPr>
              <w:numPr>
                <w:ilvl w:val="0"/>
                <w:numId w:val="0"/>
              </w:numPr>
              <w:adjustRightInd w:val="0"/>
              <w:snapToGrid w:val="0"/>
              <w:ind w:firstLine="504" w:firstLineChars="200"/>
              <w:rPr>
                <w:rFonts w:hint="eastAsia" w:ascii="仿宋_GB2312" w:hAnsi="仿宋_GB2312" w:eastAsia="仿宋_GB2312" w:cs="仿宋_GB2312"/>
                <w:b w:val="0"/>
                <w:color w:val="000000"/>
              </w:rPr>
            </w:pPr>
            <w:r>
              <w:rPr>
                <w:rFonts w:hint="eastAsia" w:ascii="仿宋_GB2312" w:hAnsi="仿宋_GB2312" w:eastAsia="仿宋_GB2312" w:cs="仿宋_GB2312"/>
                <w:b w:val="0"/>
                <w:bCs/>
                <w:color w:val="000000"/>
                <w:spacing w:val="6"/>
                <w:szCs w:val="28"/>
                <w:lang w:val="en-US" w:eastAsia="zh-CN"/>
              </w:rPr>
              <w:t>（3）案例模拟的详细数据与损益分析表。</w:t>
            </w:r>
          </w:p>
        </w:tc>
      </w:tr>
      <w:tr w14:paraId="056134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05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52087C">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rPr>
              <w:t>作品</w:t>
            </w:r>
            <w:r>
              <w:rPr>
                <w:rFonts w:hint="eastAsia" w:ascii="楷体_GB2312" w:hAnsi="楷体_GB2312" w:eastAsia="楷体_GB2312" w:cs="楷体_GB2312"/>
                <w:b w:val="0"/>
                <w:color w:val="000000"/>
                <w:sz w:val="28"/>
                <w:szCs w:val="28"/>
                <w:u w:val="none"/>
                <w:lang w:eastAsia="zh-CN"/>
              </w:rPr>
              <w:t>评审</w:t>
            </w:r>
          </w:p>
          <w:p w14:paraId="01128DAF">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CFC695">
            <w:pPr>
              <w:numPr>
                <w:ilvl w:val="0"/>
                <w:numId w:val="6"/>
              </w:num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创新性与实用性（40分）：解决方案整体的创新性及对产业痛点的针对性；商业模式的可行性与潜在市场价值；数字化平台设计的用户友好度与场景贴合度。</w:t>
            </w:r>
          </w:p>
          <w:p w14:paraId="6ECECEF5">
            <w:pPr>
              <w:numPr>
                <w:ilvl w:val="0"/>
                <w:numId w:val="6"/>
              </w:num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专业性与完整性（30分）：含权贸易合约设计的逻辑严密性与合规性；案例模拟的数据详实度、论证深度与风险揭示的充分性。</w:t>
            </w:r>
          </w:p>
          <w:p w14:paraId="6F160758">
            <w:pPr>
              <w:numPr>
                <w:ilvl w:val="0"/>
                <w:numId w:val="6"/>
              </w:num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技术实现与展示度（20分）：数字化平台原型或设计的完整度、交互流畅度及技术实现思路的合理性。</w:t>
            </w:r>
          </w:p>
          <w:p w14:paraId="094523D6">
            <w:pPr>
              <w:numPr>
                <w:ilvl w:val="0"/>
                <w:numId w:val="6"/>
              </w:numPr>
              <w:adjustRightInd w:val="0"/>
              <w:snapToGrid w:val="0"/>
              <w:ind w:firstLine="504" w:firstLineChars="200"/>
              <w:jc w:val="both"/>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lang w:val="en-US" w:eastAsia="zh-CN"/>
              </w:rPr>
              <w:t>报告与陈述（10分）：报告结构清晰，逻辑性强；现场陈述能生动展示方案价值与应用场景。</w:t>
            </w:r>
          </w:p>
        </w:tc>
      </w:tr>
      <w:tr w14:paraId="5253D7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4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4C68511">
            <w:pPr>
              <w:overflowPunct w:val="0"/>
              <w:adjustRightInd w:val="0"/>
              <w:snapToGrid w:val="0"/>
              <w:spacing w:line="240" w:lineRule="auto"/>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u w:val="none"/>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51DE0BD">
            <w:pPr>
              <w:overflowPunct w:val="0"/>
              <w:adjustRightInd w:val="0"/>
              <w:snapToGrid w:val="0"/>
              <w:ind w:firstLine="480" w:firstLineChars="200"/>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color w:val="000000"/>
                <w:u w:val="none"/>
              </w:rPr>
              <w:t>出题单位可提供丰富的聚烯烃现货贸易真实场景、历史价格数据、以及初步的制式合约框架作为设计参考，并为优秀团队提供与公司贸易、风控部门专家直接交流的机会。</w:t>
            </w:r>
          </w:p>
        </w:tc>
      </w:tr>
    </w:tbl>
    <w:p w14:paraId="1B16D779">
      <w:pPr>
        <w:tabs>
          <w:tab w:val="left" w:pos="8640"/>
        </w:tabs>
        <w:adjustRightInd w:val="0"/>
        <w:snapToGrid w:val="0"/>
        <w:spacing w:line="440" w:lineRule="exact"/>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三、激励保障</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47E28E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0"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D994C2E">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保障</w:t>
            </w:r>
            <w:r>
              <w:rPr>
                <w:rFonts w:hint="eastAsia" w:ascii="楷体_GB2312" w:hAnsi="楷体_GB2312" w:eastAsia="楷体_GB2312" w:cs="楷体_GB2312"/>
                <w:b w:val="0"/>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3E56C8F">
            <w:pPr>
              <w:numPr>
                <w:ilvl w:val="0"/>
                <w:numId w:val="7"/>
              </w:num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独家资源支持：提供公司内部使用的标准化贸易合同模板、典型的风险管理案例数据（脱敏）作为研究基础，帮助团队快速理解业务实质。</w:t>
            </w:r>
          </w:p>
          <w:p w14:paraId="57B9D572">
            <w:pPr>
              <w:numPr>
                <w:ilvl w:val="0"/>
                <w:numId w:val="7"/>
              </w:num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跨界专家指导：组建由公司衍生品服务部、风险管理部、IT部及核心业务部门负责人组成的联合指导组，为参赛团队提供专项辅导，涵盖产品设计、风险合规、技术实现等关键环节。</w:t>
            </w:r>
          </w:p>
          <w:p w14:paraId="06C2BDA3">
            <w:pPr>
              <w:numPr>
                <w:ilvl w:val="0"/>
                <w:numId w:val="7"/>
              </w:numPr>
              <w:adjustRightInd w:val="0"/>
              <w:snapToGrid w:val="0"/>
              <w:ind w:firstLine="504" w:firstLineChars="200"/>
              <w:jc w:val="both"/>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lang w:val="en-US" w:eastAsia="zh-CN"/>
              </w:rPr>
              <w:t>真实场景验证机会：对于设计出众的解决方案和原型，出题单位可提供模拟业务环境进行测试，并邀请团队参与内部研讨，直面业务一线反馈。</w:t>
            </w:r>
          </w:p>
        </w:tc>
      </w:tr>
      <w:tr w14:paraId="50E1CD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5DDFEBF3">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2E84832">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一、奖项设置</w:t>
            </w:r>
          </w:p>
          <w:p w14:paraId="71FC03E6">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原则上设“擂主”团队1个，根据实际情况评出相应的特等奖、一等奖、二等奖、三等奖项目若干。</w:t>
            </w:r>
          </w:p>
          <w:p w14:paraId="7A9ABF9A">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二、 激励措施</w:t>
            </w:r>
          </w:p>
          <w:p w14:paraId="30C78EEE">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1.奖金支持：</w:t>
            </w:r>
          </w:p>
          <w:p w14:paraId="668B8C59">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本榜题将结合实际获奖情况给予适度奖金奖励。</w:t>
            </w:r>
          </w:p>
          <w:p w14:paraId="0C539EA7">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2.实习与就业机会：所有获奖团队成员均可优先获得四联创业集团的带薪实习机会。“擂主”团队及金奖团队核心成员，在校招时可获得直通终面资格。</w:t>
            </w:r>
          </w:p>
          <w:p w14:paraId="68D1EE43">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eastAsia="zh-CN"/>
              </w:rPr>
              <w:t>3.成果孵化：对具备应用潜力的解决方案进行深度评估，优先考虑与团队开展联合开发、技术转让或设立孵化项目，推动成果向实际业务转化。</w:t>
            </w:r>
          </w:p>
        </w:tc>
      </w:tr>
    </w:tbl>
    <w:p w14:paraId="6FEC8806">
      <w:pPr>
        <w:tabs>
          <w:tab w:val="left" w:pos="8640"/>
        </w:tabs>
        <w:adjustRightInd w:val="0"/>
        <w:snapToGrid w:val="0"/>
        <w:spacing w:line="560" w:lineRule="exact"/>
        <w:rPr>
          <w:rFonts w:hint="eastAsia" w:ascii="方正黑体简体" w:eastAsia="方正黑体简体"/>
          <w:bCs/>
          <w:color w:val="auto"/>
          <w:spacing w:val="6"/>
          <w:sz w:val="32"/>
          <w:szCs w:val="32"/>
          <w:lang w:val="en-US" w:eastAsia="zh-CN"/>
        </w:rPr>
      </w:pPr>
    </w:p>
    <w:p w14:paraId="2E43ED0B">
      <w:pPr>
        <w:tabs>
          <w:tab w:val="left" w:pos="8640"/>
        </w:tabs>
        <w:adjustRightInd w:val="0"/>
        <w:snapToGrid w:val="0"/>
        <w:spacing w:line="560" w:lineRule="exact"/>
        <w:rPr>
          <w:rFonts w:hint="default" w:ascii="方正黑体简体" w:eastAsia="方正黑体简体"/>
          <w:bCs/>
          <w:color w:val="auto"/>
          <w:spacing w:val="6"/>
          <w:sz w:val="32"/>
          <w:szCs w:val="32"/>
          <w:lang w:val="en-US" w:eastAsia="zh-CN"/>
        </w:rPr>
      </w:pPr>
      <w:r>
        <w:rPr>
          <w:rFonts w:hint="eastAsia" w:ascii="方正黑体简体" w:eastAsia="方正黑体简体"/>
          <w:bCs/>
          <w:color w:val="auto"/>
          <w:spacing w:val="6"/>
          <w:sz w:val="32"/>
          <w:szCs w:val="32"/>
          <w:lang w:val="en-US" w:eastAsia="zh-CN"/>
        </w:rPr>
        <w:t>四、选题意义</w:t>
      </w:r>
    </w:p>
    <w:tbl>
      <w:tblPr>
        <w:tblStyle w:val="1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01CC50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632B1EEE">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9CB430">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lang w:eastAsia="zh-CN"/>
              </w:rPr>
              <w:t>本题目是金融创新、产业互联网与供应链管理深度融合的前沿探索。它要求将复杂的风险管理需求进行“产品化”、“场景化”和“数字化”改造，并设计支持其推广应用的轻量化工具原型。研究成果将有助于攻克金融服务实体经济的“最后一公里”难题，为大宗商品领域推广普惠型、体验友好的风险管理工具提供一套可落地的产品范式、合约框架和数字交互参考，对推动产业金融创新具有重要的方法论价值和示范意义。</w:t>
            </w:r>
          </w:p>
        </w:tc>
      </w:tr>
      <w:tr w14:paraId="06313E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96B901">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7EAE3E">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本解决方案的成功设计，能直接赋能聚烯烃产业链上的广大中小企业，通过直观易用的数字化工具和标准化合约，提供低成本、易理解的风险管理服务，稳定其生产经营，提升整个产业链的协同效率和抗风险能力（“韧性”）。对于四联创业集团而言，该方案能创新服务模式，增强客户黏性，从传统贸易商升级为综合解决方案服务商，开辟新的价值增长点。从宏观角度看，该创新有助于平抑实体企业因价格巨幅波动引发的非理性经营行为，促进产业链健康稳定发展，是金融服务实体经济、保障供应链安全稳定的生动实践，具有显著的经济价值和社会效益。</w:t>
            </w:r>
          </w:p>
        </w:tc>
      </w:tr>
    </w:tbl>
    <w:p w14:paraId="12CEA6AE">
      <w:pPr>
        <w:rPr>
          <w:rFonts w:hint="eastAsia" w:ascii="楷体_GB2312" w:hAnsi="楷体_GB2312" w:eastAsia="楷体_GB2312" w:cs="楷体_GB2312"/>
          <w:color w:val="auto"/>
        </w:rPr>
      </w:pPr>
      <w:r>
        <w:rPr>
          <w:rFonts w:hint="eastAsia" w:ascii="楷体_GB2312" w:hAnsi="楷体_GB2312" w:eastAsia="楷体_GB2312" w:cs="楷体_GB2312"/>
          <w:color w:val="auto"/>
        </w:rPr>
        <w:br w:type="page"/>
      </w:r>
    </w:p>
    <w:p w14:paraId="4638AE73">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“青智未来”新质生产力</w:t>
      </w:r>
      <w:r>
        <w:rPr>
          <w:rFonts w:hint="default" w:ascii="Times New Roman" w:hAnsi="Times New Roman" w:eastAsia="方正小标宋简体" w:cs="Times New Roman"/>
          <w:b w:val="0"/>
          <w:bCs/>
          <w:kern w:val="2"/>
          <w:sz w:val="44"/>
          <w:szCs w:val="32"/>
          <w:highlight w:val="none"/>
          <w:lang w:val="en-US" w:eastAsia="zh-CN"/>
        </w:rPr>
        <w:t>专项赛</w:t>
      </w:r>
    </w:p>
    <w:p w14:paraId="767E2C9F">
      <w:pPr>
        <w:keepNext w:val="0"/>
        <w:keepLines w:val="0"/>
        <w:pageBreakBefore w:val="0"/>
        <w:widowControl w:val="0"/>
        <w:tabs>
          <w:tab w:val="left" w:pos="8640"/>
        </w:tabs>
        <w:kinsoku/>
        <w:wordWrap w:val="0"/>
        <w:topLinePunct w:val="0"/>
        <w:autoSpaceDE/>
        <w:autoSpaceDN/>
        <w:bidi w:val="0"/>
        <w:adjustRightInd w:val="0"/>
        <w:snapToGrid w:val="0"/>
        <w:spacing w:line="560" w:lineRule="exact"/>
        <w:jc w:val="center"/>
        <w:rPr>
          <w:rFonts w:hint="default" w:ascii="Times New Roman" w:hAnsi="Times New Roman" w:eastAsia="方正小标宋简体" w:cs="Times New Roman"/>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—2</w:t>
      </w:r>
      <w:r>
        <w:rPr>
          <w:rFonts w:hint="eastAsia" w:eastAsia="方正小标宋简体" w:cs="方正小标宋简体"/>
          <w:b w:val="0"/>
          <w:bCs/>
          <w:kern w:val="2"/>
          <w:sz w:val="44"/>
          <w:szCs w:val="32"/>
          <w:highlight w:val="none"/>
          <w:lang w:val="en-US" w:eastAsia="zh-CN"/>
        </w:rPr>
        <w:t>0</w:t>
      </w:r>
    </w:p>
    <w:p w14:paraId="50AB4D2A">
      <w:pPr>
        <w:keepNext w:val="0"/>
        <w:keepLines w:val="0"/>
        <w:pageBreakBefore w:val="0"/>
        <w:widowControl w:val="0"/>
        <w:tabs>
          <w:tab w:val="left" w:pos="8640"/>
        </w:tabs>
        <w:kinsoku/>
        <w:wordWrap w:val="0"/>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b w:val="0"/>
          <w:bCs/>
          <w:kern w:val="2"/>
          <w:sz w:val="32"/>
          <w:szCs w:val="22"/>
          <w:highlight w:val="none"/>
          <w:lang w:val="en-US" w:eastAsia="zh-CN"/>
        </w:rPr>
      </w:pPr>
    </w:p>
    <w:p w14:paraId="1BD70A43">
      <w:pPr>
        <w:tabs>
          <w:tab w:val="left" w:pos="8640"/>
        </w:tabs>
        <w:adjustRightInd w:val="0"/>
        <w:snapToGrid w:val="0"/>
        <w:spacing w:line="560" w:lineRule="exact"/>
        <w:rPr>
          <w:rFonts w:ascii="方正楷体简体" w:hAnsi="方正楷体简体" w:eastAsia="方正楷体简体" w:cs="方正楷体简体"/>
          <w:bCs/>
          <w:color w:val="auto"/>
          <w:spacing w:val="6"/>
        </w:rPr>
      </w:pPr>
      <w:r>
        <w:rPr>
          <w:rFonts w:hint="eastAsia" w:ascii="方正黑体简体" w:eastAsia="方正黑体简体"/>
          <w:bCs/>
          <w:color w:val="auto"/>
          <w:spacing w:val="6"/>
          <w:sz w:val="32"/>
          <w:szCs w:val="32"/>
        </w:rPr>
        <w:t>一、单位信息</w:t>
      </w:r>
    </w:p>
    <w:tbl>
      <w:tblPr>
        <w:tblStyle w:val="11"/>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17844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4F6676EC">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单位名称</w:t>
            </w:r>
          </w:p>
        </w:tc>
        <w:tc>
          <w:tcPr>
            <w:tcW w:w="6932" w:type="dxa"/>
            <w:gridSpan w:val="3"/>
            <w:vAlign w:val="center"/>
          </w:tcPr>
          <w:p w14:paraId="6A29FC94">
            <w:pPr>
              <w:adjustRightInd w:val="0"/>
              <w:snapToGrid w:val="0"/>
              <w:jc w:val="center"/>
              <w:rPr>
                <w:rFonts w:hint="eastAsia" w:ascii="仿宋_GB2312" w:hAnsi="仿宋_GB2312" w:eastAsia="仿宋_GB2312" w:cs="仿宋_GB2312"/>
                <w:color w:val="auto"/>
              </w:rPr>
            </w:pPr>
            <w:r>
              <w:rPr>
                <w:rFonts w:hint="eastAsia" w:ascii="仿宋_GB2312" w:hAnsi="仿宋_GB2312" w:eastAsia="仿宋_GB2312" w:cs="仿宋_GB2312"/>
                <w:bCs/>
                <w:color w:val="auto"/>
                <w:spacing w:val="6"/>
                <w:szCs w:val="28"/>
                <w:lang w:val="en-US" w:eastAsia="zh-CN"/>
              </w:rPr>
              <w:t>北京未来科学城管理委员会</w:t>
            </w:r>
          </w:p>
        </w:tc>
      </w:tr>
      <w:tr w14:paraId="25BB2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12B51C23">
            <w:pPr>
              <w:adjustRightInd w:val="0"/>
              <w:snapToGrid w:val="0"/>
              <w:jc w:val="center"/>
              <w:rPr>
                <w:rFonts w:hint="eastAsia" w:ascii="楷体_GB2312" w:hAnsi="楷体_GB2312" w:eastAsia="楷体_GB2312" w:cs="楷体_GB2312"/>
                <w:bCs/>
                <w:color w:val="auto"/>
                <w:spacing w:val="6"/>
                <w:szCs w:val="28"/>
                <w:lang w:val="en-US"/>
              </w:rPr>
            </w:pPr>
            <w:r>
              <w:rPr>
                <w:rFonts w:hint="eastAsia" w:ascii="楷体_GB2312" w:hAnsi="楷体_GB2312" w:eastAsia="楷体_GB2312" w:cs="楷体_GB2312"/>
                <w:color w:val="auto"/>
                <w:sz w:val="28"/>
                <w:szCs w:val="32"/>
                <w:lang w:val="en-US"/>
              </w:rPr>
              <w:t>单位类型</w:t>
            </w:r>
          </w:p>
        </w:tc>
        <w:tc>
          <w:tcPr>
            <w:tcW w:w="6932" w:type="dxa"/>
            <w:gridSpan w:val="3"/>
            <w:vAlign w:val="center"/>
          </w:tcPr>
          <w:p w14:paraId="62461172">
            <w:pPr>
              <w:adjustRightInd w:val="0"/>
              <w:snapToGrid w:val="0"/>
              <w:jc w:val="center"/>
              <w:rPr>
                <w:rFonts w:hint="eastAsia" w:ascii="仿宋_GB2312" w:hAnsi="仿宋_GB2312" w:eastAsia="仿宋_GB2312" w:cs="仿宋_GB2312"/>
                <w:bCs/>
                <w:color w:val="auto"/>
                <w:spacing w:val="6"/>
                <w:szCs w:val="28"/>
                <w:lang w:val="en-US"/>
              </w:rPr>
            </w:pPr>
            <w:r>
              <w:rPr>
                <w:rFonts w:hint="eastAsia" w:ascii="仿宋_GB2312" w:hAnsi="仿宋_GB2312" w:eastAsia="仿宋_GB2312" w:cs="仿宋_GB2312"/>
                <w:bCs/>
                <w:color w:val="auto"/>
                <w:spacing w:val="6"/>
                <w:szCs w:val="28"/>
                <w:lang w:val="en-US"/>
              </w:rPr>
              <w:t>市级机关</w:t>
            </w:r>
          </w:p>
        </w:tc>
      </w:tr>
      <w:tr w14:paraId="0DD98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66510D55">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地址</w:t>
            </w:r>
          </w:p>
        </w:tc>
        <w:tc>
          <w:tcPr>
            <w:tcW w:w="6932" w:type="dxa"/>
            <w:gridSpan w:val="3"/>
            <w:vAlign w:val="center"/>
          </w:tcPr>
          <w:p w14:paraId="265C2337">
            <w:pPr>
              <w:adjustRightInd w:val="0"/>
              <w:jc w:val="center"/>
              <w:rPr>
                <w:rFonts w:hint="default" w:ascii="仿宋_GB2312" w:hAnsi="仿宋_GB2312" w:eastAsia="仿宋_GB2312" w:cs="仿宋_GB2312"/>
                <w:color w:val="auto"/>
                <w:lang w:val="en-US" w:eastAsia="zh-CN"/>
              </w:rPr>
            </w:pPr>
            <w:r>
              <w:rPr>
                <w:rFonts w:hint="eastAsia" w:ascii="仿宋_GB2312" w:hAnsi="仿宋_GB2312" w:eastAsia="仿宋_GB2312" w:cs="仿宋_GB2312"/>
                <w:color w:val="auto"/>
                <w:lang w:eastAsia="zh-CN"/>
              </w:rPr>
              <w:t>北京市昌平区北七家镇定泗路</w:t>
            </w:r>
            <w:r>
              <w:rPr>
                <w:rFonts w:hint="eastAsia" w:ascii="仿宋_GB2312" w:hAnsi="仿宋_GB2312" w:eastAsia="仿宋_GB2312" w:cs="仿宋_GB2312"/>
                <w:color w:val="auto"/>
                <w:lang w:val="en-US" w:eastAsia="zh-CN"/>
              </w:rPr>
              <w:t>238号</w:t>
            </w:r>
          </w:p>
        </w:tc>
      </w:tr>
      <w:tr w14:paraId="039E8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18CD9199">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lang w:val="en-US"/>
              </w:rPr>
              <w:t>单位</w:t>
            </w:r>
            <w:r>
              <w:rPr>
                <w:rFonts w:hint="eastAsia" w:ascii="楷体_GB2312" w:hAnsi="楷体_GB2312" w:eastAsia="楷体_GB2312" w:cs="楷体_GB2312"/>
                <w:color w:val="auto"/>
                <w:sz w:val="28"/>
                <w:szCs w:val="32"/>
              </w:rPr>
              <w:t>简介</w:t>
            </w:r>
          </w:p>
        </w:tc>
        <w:tc>
          <w:tcPr>
            <w:tcW w:w="6932" w:type="dxa"/>
            <w:gridSpan w:val="3"/>
            <w:vAlign w:val="center"/>
          </w:tcPr>
          <w:p w14:paraId="61ED4C57">
            <w:pPr>
              <w:adjustRightInd w:val="0"/>
              <w:snapToGrid w:val="0"/>
              <w:jc w:val="both"/>
              <w:rPr>
                <w:rFonts w:hint="eastAsia" w:ascii="仿宋_GB2312" w:hAnsi="仿宋_GB2312" w:eastAsia="仿宋_GB2312" w:cs="仿宋_GB2312"/>
                <w:bCs/>
                <w:color w:val="auto"/>
                <w:spacing w:val="6"/>
                <w:szCs w:val="28"/>
              </w:rPr>
            </w:pPr>
            <w:r>
              <w:rPr>
                <w:rFonts w:hint="eastAsia" w:ascii="仿宋_GB2312" w:hAnsi="仿宋_GB2312" w:eastAsia="仿宋_GB2312" w:cs="仿宋_GB2312"/>
                <w:bCs/>
                <w:color w:val="auto"/>
                <w:spacing w:val="6"/>
                <w:szCs w:val="28"/>
                <w:lang w:val="en-US" w:eastAsia="zh-CN"/>
              </w:rPr>
              <w:t>未来科学城管委会主要负责组织编制园区建设和发展的各项规划，按程序报批后组织实施；贯彻落实国家及本市有关改革要求，研究提出促进园区创新发展的政策措施，促进国际科技创新中心建设；推进园区管理和服务体制机制创新，优化营商环境，强化服务功能，促进央地合作、校城融合发展；按权限协调做好应急管理、安全生产、环境保护等工作；根据授权在园区规划范围内行使有关市级管理权限。</w:t>
            </w:r>
          </w:p>
        </w:tc>
      </w:tr>
      <w:tr w14:paraId="388BB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4B91DB7B">
            <w:pPr>
              <w:adjustRightInd w:val="0"/>
              <w:snapToGrid w:val="0"/>
              <w:ind w:firstLine="280" w:firstLineChars="100"/>
              <w:jc w:val="both"/>
              <w:rPr>
                <w:rFonts w:hint="eastAsia" w:ascii="楷体_GB2312" w:hAnsi="楷体_GB2312" w:eastAsia="楷体_GB2312" w:cs="楷体_GB2312"/>
                <w:bCs/>
                <w:color w:val="auto"/>
                <w:spacing w:val="6"/>
                <w:szCs w:val="28"/>
              </w:rPr>
            </w:pPr>
            <w:r>
              <w:rPr>
                <w:rFonts w:hint="eastAsia" w:ascii="楷体_GB2312" w:hAnsi="楷体_GB2312" w:eastAsia="楷体_GB2312" w:cs="楷体_GB2312"/>
                <w:color w:val="auto"/>
                <w:sz w:val="28"/>
                <w:szCs w:val="32"/>
                <w:lang w:val="en-US"/>
              </w:rPr>
              <w:t>联系人</w:t>
            </w:r>
          </w:p>
        </w:tc>
        <w:tc>
          <w:tcPr>
            <w:tcW w:w="3076" w:type="dxa"/>
            <w:vAlign w:val="center"/>
          </w:tcPr>
          <w:p w14:paraId="2E42C035">
            <w:pPr>
              <w:adjustRightInd w:val="0"/>
              <w:snapToGrid w:val="0"/>
              <w:jc w:val="center"/>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郭宁</w:t>
            </w:r>
          </w:p>
        </w:tc>
        <w:tc>
          <w:tcPr>
            <w:tcW w:w="1073" w:type="dxa"/>
            <w:vAlign w:val="center"/>
          </w:tcPr>
          <w:p w14:paraId="5CE90FDB">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职务</w:t>
            </w:r>
          </w:p>
        </w:tc>
        <w:tc>
          <w:tcPr>
            <w:tcW w:w="2783" w:type="dxa"/>
            <w:vAlign w:val="center"/>
          </w:tcPr>
          <w:p w14:paraId="43C26CAD">
            <w:pPr>
              <w:adjustRightInd w:val="0"/>
              <w:jc w:val="center"/>
              <w:rPr>
                <w:rFonts w:hint="eastAsia" w:ascii="Times New Roman" w:hAnsi="Times New Roman" w:eastAsia="方正仿宋简体" w:cs="Times New Roman"/>
                <w:color w:val="auto"/>
                <w:lang w:eastAsia="zh-CN"/>
              </w:rPr>
            </w:pPr>
            <w:r>
              <w:rPr>
                <w:rFonts w:hint="eastAsia" w:eastAsia="方正仿宋简体" w:cs="Times New Roman"/>
                <w:color w:val="auto"/>
                <w:lang w:eastAsia="zh-CN"/>
              </w:rPr>
              <w:t>央企服务处处长</w:t>
            </w:r>
          </w:p>
        </w:tc>
      </w:tr>
      <w:tr w14:paraId="7ADD8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607CE29E">
            <w:pPr>
              <w:adjustRightInd w:val="0"/>
              <w:snapToGrid w:val="0"/>
              <w:jc w:val="center"/>
              <w:rPr>
                <w:rFonts w:hint="eastAsia" w:ascii="楷体_GB2312" w:hAnsi="楷体_GB2312" w:eastAsia="楷体_GB2312" w:cs="楷体_GB2312"/>
                <w:bCs/>
                <w:color w:val="auto"/>
                <w:spacing w:val="6"/>
                <w:szCs w:val="28"/>
                <w:lang w:val="en-US" w:eastAsia="zh-CN"/>
              </w:rPr>
            </w:pPr>
            <w:r>
              <w:rPr>
                <w:rFonts w:hint="eastAsia" w:ascii="楷体_GB2312" w:hAnsi="楷体_GB2312" w:eastAsia="楷体_GB2312" w:cs="楷体_GB2312"/>
                <w:color w:val="auto"/>
                <w:sz w:val="28"/>
                <w:szCs w:val="32"/>
                <w:lang w:val="en-US" w:eastAsia="zh-CN"/>
              </w:rPr>
              <w:t>联系方式</w:t>
            </w:r>
          </w:p>
        </w:tc>
        <w:tc>
          <w:tcPr>
            <w:tcW w:w="3076" w:type="dxa"/>
            <w:vAlign w:val="center"/>
          </w:tcPr>
          <w:p w14:paraId="1566C45A">
            <w:pPr>
              <w:adjustRightInd w:val="0"/>
              <w:snapToGrid w:val="0"/>
              <w:jc w:val="center"/>
              <w:rPr>
                <w:rFonts w:hint="default"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80789805</w:t>
            </w:r>
          </w:p>
        </w:tc>
        <w:tc>
          <w:tcPr>
            <w:tcW w:w="1073" w:type="dxa"/>
            <w:vAlign w:val="center"/>
          </w:tcPr>
          <w:p w14:paraId="2F4943F1">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微信</w:t>
            </w:r>
          </w:p>
        </w:tc>
        <w:tc>
          <w:tcPr>
            <w:tcW w:w="2783" w:type="dxa"/>
            <w:vAlign w:val="center"/>
          </w:tcPr>
          <w:p w14:paraId="3F8E9E9B">
            <w:pPr>
              <w:adjustRightInd w:val="0"/>
              <w:jc w:val="center"/>
              <w:rPr>
                <w:rFonts w:hint="eastAsia" w:ascii="Times New Roman" w:hAnsi="Times New Roman" w:eastAsia="方正仿宋简体" w:cs="Times New Roman"/>
                <w:color w:val="auto"/>
              </w:rPr>
            </w:pPr>
          </w:p>
        </w:tc>
      </w:tr>
    </w:tbl>
    <w:p w14:paraId="48C551FB">
      <w:pPr>
        <w:tabs>
          <w:tab w:val="left" w:pos="8640"/>
        </w:tabs>
        <w:adjustRightInd w:val="0"/>
        <w:snapToGrid w:val="0"/>
        <w:spacing w:line="560" w:lineRule="exact"/>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二、选题说明</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0CA9BF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01DC48D">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选题</w:t>
            </w:r>
            <w:r>
              <w:rPr>
                <w:rFonts w:hint="eastAsia" w:ascii="楷体_GB2312" w:hAnsi="楷体_GB2312" w:eastAsia="楷体_GB2312" w:cs="楷体_GB2312"/>
                <w:b w:val="0"/>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222DA26">
            <w:pPr>
              <w:adjustRightInd w:val="0"/>
              <w:snapToGrid w:val="0"/>
              <w:ind w:firstLine="480" w:firstLineChars="200"/>
              <w:jc w:val="both"/>
              <w:rPr>
                <w:rFonts w:hint="default" w:ascii="仿宋_GB2312" w:hAnsi="仿宋_GB2312" w:eastAsia="仿宋_GB2312" w:cs="仿宋_GB2312"/>
                <w:b w:val="0"/>
                <w:color w:val="000000"/>
                <w:lang w:val="en-US" w:eastAsia="zh-CN"/>
              </w:rPr>
            </w:pPr>
            <w:r>
              <w:rPr>
                <w:rFonts w:hint="eastAsia" w:ascii="仿宋_GB2312" w:hAnsi="仿宋_GB2312" w:eastAsia="仿宋_GB2312" w:cs="仿宋_GB2312"/>
                <w:b w:val="0"/>
                <w:color w:val="000000"/>
              </w:rPr>
              <w:t>高校-央企-地方政府三方协同创新推动科技成果转化的机制构建与路径研究</w:t>
            </w:r>
          </w:p>
        </w:tc>
      </w:tr>
      <w:tr w14:paraId="4EF24F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A629649">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812E7C1">
            <w:pPr>
              <w:adjustRightInd w:val="0"/>
              <w:snapToGrid w:val="0"/>
              <w:ind w:firstLine="480" w:firstLineChars="200"/>
              <w:jc w:val="both"/>
              <w:rPr>
                <w:rFonts w:hint="eastAsia" w:ascii="仿宋_GB2312" w:hAnsi="仿宋_GB2312" w:eastAsia="仿宋_GB2312" w:cs="仿宋_GB2312"/>
                <w:b w:val="0"/>
                <w:color w:val="000000"/>
              </w:rPr>
            </w:pPr>
            <w:r>
              <w:rPr>
                <w:rFonts w:hint="eastAsia" w:ascii="仿宋_GB2312" w:hAnsi="仿宋_GB2312" w:eastAsia="仿宋_GB2312" w:cs="仿宋_GB2312"/>
                <w:b w:val="0"/>
                <w:color w:val="000000"/>
              </w:rPr>
              <w:t>高等教育、科技创新、产学研合作、社会科学</w:t>
            </w:r>
          </w:p>
        </w:tc>
      </w:tr>
      <w:tr w14:paraId="4880D8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79A6020">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7B7A0CA">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本选题聚焦于高校、地方政府与中央企业在科技成果转化中的三方协同机制构建问题。当前，我国科技创新体系存在高校成果产出与产业需求脱节、地方政府政策支持与央企应用场景衔接不畅、三方合作缺乏系统化平台与长效机制等问题。题目旨在探索如何以高校为创新源头、地方政府为政策与资源纽带、央企为应用与市场载体，构建高效协同、权责清晰、可持续运行的成果转化生态系统。</w:t>
            </w:r>
          </w:p>
          <w:p w14:paraId="71491F52">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题目要求参赛团队：</w:t>
            </w:r>
          </w:p>
          <w:p w14:paraId="0FA97A7F">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1. 分析高校、地方政府、央企在科技成果转化中的角色定位、资源优势与合作现状；</w:t>
            </w:r>
          </w:p>
          <w:p w14:paraId="3159E473">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2. 识别三方协同中存在的主要障碍与机制短板；</w:t>
            </w:r>
          </w:p>
          <w:p w14:paraId="0853A123">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3. 设计具有可操作性的协同模式与实施路径，可涵盖政策联动、平台共建、利益共享、风险共担等机制；</w:t>
            </w:r>
          </w:p>
          <w:p w14:paraId="16D126E9">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4. 结合地区或产业案例进行论证，体现方案的现实适配性与推广价值；</w:t>
            </w:r>
          </w:p>
          <w:p w14:paraId="15028F7D">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5. 鼓励提出具有创新性的组织模式、评估体系或数字化协同平台构想。</w:t>
            </w:r>
          </w:p>
        </w:tc>
      </w:tr>
      <w:tr w14:paraId="1D1088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4F16CA3">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E9E88A4">
            <w:pPr>
              <w:adjustRightInd w:val="0"/>
              <w:snapToGrid w:val="0"/>
              <w:ind w:firstLine="480" w:firstLineChars="200"/>
              <w:rPr>
                <w:rFonts w:hint="eastAsia" w:ascii="仿宋_GB2312" w:hAnsi="仿宋_GB2312" w:eastAsia="仿宋_GB2312" w:cs="仿宋_GB2312"/>
                <w:b w:val="0"/>
                <w:color w:val="000000"/>
              </w:rPr>
            </w:pPr>
            <w:r>
              <w:rPr>
                <w:rFonts w:hint="eastAsia" w:ascii="仿宋_GB2312" w:hAnsi="仿宋_GB2312" w:eastAsia="仿宋_GB2312" w:cs="仿宋_GB2312"/>
                <w:b w:val="0"/>
                <w:color w:val="000000"/>
              </w:rPr>
              <w:t>1. 提交一份完整的研究报告或方案设计书，字数不少于3000字；</w:t>
            </w:r>
          </w:p>
          <w:p w14:paraId="34AA7CE6">
            <w:pPr>
              <w:adjustRightInd w:val="0"/>
              <w:snapToGrid w:val="0"/>
              <w:ind w:firstLine="480" w:firstLineChars="200"/>
              <w:rPr>
                <w:rFonts w:hint="eastAsia" w:ascii="仿宋_GB2312" w:hAnsi="仿宋_GB2312" w:eastAsia="仿宋_GB2312" w:cs="仿宋_GB2312"/>
                <w:b w:val="0"/>
                <w:color w:val="000000"/>
              </w:rPr>
            </w:pPr>
            <w:r>
              <w:rPr>
                <w:rFonts w:hint="eastAsia" w:ascii="仿宋_GB2312" w:hAnsi="仿宋_GB2312" w:eastAsia="仿宋_GB2312" w:cs="仿宋_GB2312"/>
                <w:b w:val="0"/>
                <w:color w:val="000000"/>
              </w:rPr>
              <w:t>2. 需包含问题分析、机制设计、实施路径、预期成效等部分；</w:t>
            </w:r>
          </w:p>
          <w:p w14:paraId="740BC889">
            <w:pPr>
              <w:adjustRightInd w:val="0"/>
              <w:snapToGrid w:val="0"/>
              <w:ind w:firstLine="480" w:firstLineChars="200"/>
              <w:rPr>
                <w:rFonts w:hint="eastAsia" w:ascii="仿宋_GB2312" w:hAnsi="仿宋_GB2312" w:eastAsia="仿宋_GB2312" w:cs="仿宋_GB2312"/>
                <w:b w:val="0"/>
                <w:color w:val="000000"/>
              </w:rPr>
            </w:pPr>
            <w:r>
              <w:rPr>
                <w:rFonts w:hint="eastAsia" w:ascii="仿宋_GB2312" w:hAnsi="仿宋_GB2312" w:eastAsia="仿宋_GB2312" w:cs="仿宋_GB2312"/>
                <w:b w:val="0"/>
                <w:color w:val="000000"/>
              </w:rPr>
              <w:t>3. 可附图表、调研数据、案例材料等作为支撑；</w:t>
            </w:r>
          </w:p>
          <w:p w14:paraId="006B3191">
            <w:pPr>
              <w:adjustRightInd w:val="0"/>
              <w:snapToGrid w:val="0"/>
              <w:ind w:firstLine="480" w:firstLineChars="200"/>
              <w:rPr>
                <w:rFonts w:hint="eastAsia" w:ascii="仿宋_GB2312" w:hAnsi="仿宋_GB2312" w:eastAsia="仿宋_GB2312" w:cs="仿宋_GB2312"/>
                <w:b w:val="0"/>
                <w:color w:val="000000"/>
              </w:rPr>
            </w:pPr>
            <w:r>
              <w:rPr>
                <w:rFonts w:hint="eastAsia" w:ascii="仿宋_GB2312" w:hAnsi="仿宋_GB2312" w:eastAsia="仿宋_GB2312" w:cs="仿宋_GB2312"/>
                <w:b w:val="0"/>
                <w:color w:val="000000"/>
              </w:rPr>
              <w:t>4. 方案应具有现实可操作性，避免纯理论探讨；</w:t>
            </w:r>
          </w:p>
          <w:p w14:paraId="6A0D6F3E">
            <w:pPr>
              <w:adjustRightInd w:val="0"/>
              <w:snapToGrid w:val="0"/>
              <w:ind w:firstLine="480" w:firstLineChars="200"/>
              <w:rPr>
                <w:rFonts w:hint="eastAsia" w:ascii="仿宋_GB2312" w:hAnsi="仿宋_GB2312" w:eastAsia="仿宋_GB2312" w:cs="仿宋_GB2312"/>
                <w:b w:val="0"/>
                <w:color w:val="000000"/>
              </w:rPr>
            </w:pPr>
            <w:r>
              <w:rPr>
                <w:rFonts w:hint="eastAsia" w:ascii="仿宋_GB2312" w:hAnsi="仿宋_GB2312" w:eastAsia="仿宋_GB2312" w:cs="仿宋_GB2312"/>
                <w:b w:val="0"/>
                <w:color w:val="000000"/>
              </w:rPr>
              <w:t>5. 提交截止时间以赛事通知为准。</w:t>
            </w:r>
          </w:p>
        </w:tc>
      </w:tr>
      <w:tr w14:paraId="31EAAF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5D49E0">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rPr>
              <w:t>作品</w:t>
            </w:r>
            <w:r>
              <w:rPr>
                <w:rFonts w:hint="eastAsia" w:ascii="楷体_GB2312" w:hAnsi="楷体_GB2312" w:eastAsia="楷体_GB2312" w:cs="楷体_GB2312"/>
                <w:b w:val="0"/>
                <w:color w:val="000000"/>
                <w:sz w:val="28"/>
                <w:szCs w:val="28"/>
                <w:u w:val="none"/>
                <w:lang w:eastAsia="zh-CN"/>
              </w:rPr>
              <w:t>评审</w:t>
            </w:r>
          </w:p>
          <w:p w14:paraId="2C6EDAEC">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264145">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1. 创新性（30%）：机制设计是否具有新意，是否突破现有合作模式；</w:t>
            </w:r>
          </w:p>
          <w:p w14:paraId="295E530E">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2. 可行性（30%）：方案是否具备实施条件，是否考虑多方利益平衡；</w:t>
            </w:r>
          </w:p>
          <w:p w14:paraId="506B4DDF">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3. 实用性（20%）：是否针对真实问题，能否推动实际转化；</w:t>
            </w:r>
          </w:p>
          <w:p w14:paraId="3BE788DA">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4. 逻辑性与完整性（20%）：结构是否清晰，论证是否充分，材料是否翔实。</w:t>
            </w:r>
          </w:p>
        </w:tc>
      </w:tr>
      <w:tr w14:paraId="41696B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6BC9FAC">
            <w:pPr>
              <w:overflowPunct w:val="0"/>
              <w:adjustRightInd w:val="0"/>
              <w:snapToGrid w:val="0"/>
              <w:spacing w:line="240" w:lineRule="auto"/>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u w:val="none"/>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F3D6B02">
            <w:pPr>
              <w:overflowPunct w:val="0"/>
              <w:adjustRightInd w:val="0"/>
              <w:snapToGrid w:val="0"/>
              <w:ind w:firstLine="480" w:firstLineChars="200"/>
              <w:rPr>
                <w:rFonts w:hint="eastAsia" w:ascii="仿宋_GB2312" w:hAnsi="仿宋_GB2312" w:eastAsia="仿宋_GB2312" w:cs="仿宋_GB2312"/>
                <w:b w:val="0"/>
                <w:bCs/>
                <w:color w:val="000000"/>
                <w:spacing w:val="6"/>
                <w:szCs w:val="28"/>
                <w:lang w:eastAsia="zh-CN"/>
              </w:rPr>
            </w:pPr>
            <w:r>
              <w:rPr>
                <w:rFonts w:hint="eastAsia" w:ascii="仿宋_GB2312" w:hAnsi="仿宋_GB2312" w:eastAsia="仿宋_GB2312" w:cs="仿宋_GB2312"/>
                <w:b w:val="0"/>
                <w:color w:val="000000"/>
                <w:u w:val="none"/>
                <w:lang w:eastAsia="zh-CN"/>
              </w:rPr>
              <w:t>无</w:t>
            </w:r>
          </w:p>
        </w:tc>
      </w:tr>
    </w:tbl>
    <w:p w14:paraId="22F5C988">
      <w:pPr>
        <w:tabs>
          <w:tab w:val="left" w:pos="8640"/>
        </w:tabs>
        <w:adjustRightInd w:val="0"/>
        <w:snapToGrid w:val="0"/>
        <w:spacing w:line="440" w:lineRule="exact"/>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三、激励保障</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626A3F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0"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297C646">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保障</w:t>
            </w:r>
            <w:r>
              <w:rPr>
                <w:rFonts w:hint="eastAsia" w:ascii="楷体_GB2312" w:hAnsi="楷体_GB2312" w:eastAsia="楷体_GB2312" w:cs="楷体_GB2312"/>
                <w:b w:val="0"/>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5BC8834">
            <w:pPr>
              <w:adjustRightInd w:val="0"/>
              <w:snapToGrid w:val="0"/>
              <w:ind w:firstLine="504" w:firstLineChars="200"/>
              <w:jc w:val="both"/>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1. 为参赛团队提供与相关高校技术转移中心、央企创新部门的调研机会；</w:t>
            </w:r>
          </w:p>
          <w:p w14:paraId="6DB99AE2">
            <w:pPr>
              <w:adjustRightInd w:val="0"/>
              <w:snapToGrid w:val="0"/>
              <w:ind w:firstLine="504" w:firstLineChars="200"/>
              <w:jc w:val="both"/>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lang w:val="en-US" w:eastAsia="zh-CN"/>
              </w:rPr>
              <w:t>2</w:t>
            </w:r>
            <w:r>
              <w:rPr>
                <w:rFonts w:hint="eastAsia" w:ascii="仿宋_GB2312" w:hAnsi="仿宋_GB2312" w:eastAsia="仿宋_GB2312" w:cs="仿宋_GB2312"/>
                <w:b w:val="0"/>
                <w:bCs/>
                <w:color w:val="000000"/>
                <w:spacing w:val="6"/>
                <w:szCs w:val="28"/>
              </w:rPr>
              <w:t>. 组织参赛团队参加</w:t>
            </w:r>
            <w:r>
              <w:rPr>
                <w:rFonts w:hint="eastAsia" w:ascii="仿宋_GB2312" w:hAnsi="仿宋_GB2312" w:eastAsia="仿宋_GB2312" w:cs="仿宋_GB2312"/>
                <w:b w:val="0"/>
                <w:bCs/>
                <w:color w:val="000000"/>
                <w:spacing w:val="6"/>
                <w:szCs w:val="28"/>
                <w:lang w:eastAsia="zh-CN"/>
              </w:rPr>
              <w:t>央校</w:t>
            </w:r>
            <w:r>
              <w:rPr>
                <w:rFonts w:hint="eastAsia" w:ascii="仿宋_GB2312" w:hAnsi="仿宋_GB2312" w:eastAsia="仿宋_GB2312" w:cs="仿宋_GB2312"/>
                <w:b w:val="0"/>
                <w:bCs/>
                <w:color w:val="000000"/>
                <w:spacing w:val="6"/>
                <w:szCs w:val="28"/>
              </w:rPr>
              <w:t>线上产学研对接交流活动。</w:t>
            </w:r>
          </w:p>
          <w:p w14:paraId="654F43F0">
            <w:pPr>
              <w:adjustRightInd w:val="0"/>
              <w:snapToGrid w:val="0"/>
              <w:ind w:firstLine="504" w:firstLineChars="200"/>
              <w:jc w:val="both"/>
              <w:rPr>
                <w:rFonts w:hint="eastAsia" w:ascii="仿宋_GB2312" w:hAnsi="仿宋_GB2312" w:eastAsia="仿宋_GB2312" w:cs="仿宋_GB2312"/>
                <w:b w:val="0"/>
                <w:bCs/>
                <w:color w:val="000000"/>
                <w:spacing w:val="6"/>
                <w:szCs w:val="28"/>
              </w:rPr>
            </w:pPr>
          </w:p>
        </w:tc>
      </w:tr>
      <w:tr w14:paraId="4C2886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60A5874">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80FE91F">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一、奖项设置</w:t>
            </w:r>
          </w:p>
          <w:p w14:paraId="2E1FEC3E">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原则上设“擂主”团队1个，根据实际情况评出相应的特等奖、一等奖、二等奖、三等奖项目若干。</w:t>
            </w:r>
          </w:p>
          <w:p w14:paraId="501FAF3A">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二、 激励措施</w:t>
            </w:r>
          </w:p>
          <w:p w14:paraId="07669F32">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eastAsia="zh-CN"/>
              </w:rPr>
              <w:t>对具有较高可行性和应用价值的获奖作品，提供项目孵化支持，协助团队与相关部门、企业对接，推动作品落地实施。</w:t>
            </w:r>
          </w:p>
        </w:tc>
      </w:tr>
    </w:tbl>
    <w:p w14:paraId="171AEE2F">
      <w:pPr>
        <w:tabs>
          <w:tab w:val="left" w:pos="8640"/>
        </w:tabs>
        <w:adjustRightInd w:val="0"/>
        <w:snapToGrid w:val="0"/>
        <w:spacing w:line="560" w:lineRule="exact"/>
        <w:rPr>
          <w:rFonts w:hint="default" w:ascii="方正黑体简体" w:eastAsia="方正黑体简体"/>
          <w:bCs/>
          <w:color w:val="auto"/>
          <w:spacing w:val="6"/>
          <w:sz w:val="32"/>
          <w:szCs w:val="32"/>
          <w:lang w:val="en-US" w:eastAsia="zh-CN"/>
        </w:rPr>
      </w:pPr>
      <w:r>
        <w:rPr>
          <w:rFonts w:hint="eastAsia" w:ascii="方正黑体简体" w:eastAsia="方正黑体简体"/>
          <w:bCs/>
          <w:color w:val="auto"/>
          <w:spacing w:val="6"/>
          <w:sz w:val="32"/>
          <w:szCs w:val="32"/>
          <w:lang w:val="en-US" w:eastAsia="zh-CN"/>
        </w:rPr>
        <w:t>四、选题意义</w:t>
      </w:r>
    </w:p>
    <w:tbl>
      <w:tblPr>
        <w:tblStyle w:val="1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791A0F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6A2D3483">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80263E">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本课题旨在构建高校、地方政府与央企三方协同的成果转化机制，破解“转化断层”问题，整合研发、政策与产业资源，形成高效转化闭环。该机制将推动关键技术的快速落地与迭代，为中国特色产学研协同创新提供可操作的制度样本，提升国家创新体系整体效能。</w:t>
            </w:r>
          </w:p>
        </w:tc>
      </w:tr>
      <w:tr w14:paraId="09567A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0E725D">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88263D">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成果将形成可复制的协同转化模式，提升成果转化与产业适配效率，助力地方产业升级与集群发展。通过打通人才、技术、资本等要素通道，可激发区域创新活力，促进高质量就业与创业，并为政府优化创新治理提供决策参考，实现经济与社会效益双提升</w:t>
            </w:r>
            <w:bookmarkStart w:id="5" w:name="_GoBack"/>
            <w:bookmarkEnd w:id="5"/>
            <w:r>
              <w:rPr>
                <w:rFonts w:hint="eastAsia" w:ascii="仿宋_GB2312" w:hAnsi="仿宋_GB2312" w:eastAsia="仿宋_GB2312" w:cs="仿宋_GB2312"/>
                <w:b w:val="0"/>
                <w:bCs/>
                <w:color w:val="000000"/>
                <w:spacing w:val="6"/>
                <w:szCs w:val="28"/>
                <w:u w:val="none"/>
              </w:rPr>
              <w:t>。</w:t>
            </w:r>
          </w:p>
        </w:tc>
      </w:tr>
    </w:tbl>
    <w:p w14:paraId="06FAA350">
      <w:pPr>
        <w:rPr>
          <w:rFonts w:hint="eastAsia" w:ascii="楷体_GB2312" w:hAnsi="楷体_GB2312" w:eastAsia="楷体_GB2312" w:cs="楷体_GB2312"/>
          <w:color w:val="auto"/>
        </w:rPr>
      </w:pPr>
      <w:r>
        <w:rPr>
          <w:rFonts w:hint="eastAsia" w:ascii="楷体_GB2312" w:hAnsi="楷体_GB2312" w:eastAsia="楷体_GB2312" w:cs="楷体_GB2312"/>
          <w:color w:val="auto"/>
        </w:rPr>
        <w:br w:type="page"/>
      </w:r>
    </w:p>
    <w:p w14:paraId="3D69E214">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“青智未来”新质生产力</w:t>
      </w:r>
      <w:r>
        <w:rPr>
          <w:rFonts w:hint="default" w:ascii="Times New Roman" w:hAnsi="Times New Roman" w:eastAsia="方正小标宋简体" w:cs="Times New Roman"/>
          <w:b w:val="0"/>
          <w:bCs/>
          <w:kern w:val="2"/>
          <w:sz w:val="44"/>
          <w:szCs w:val="32"/>
          <w:highlight w:val="none"/>
          <w:lang w:val="en-US" w:eastAsia="zh-CN"/>
        </w:rPr>
        <w:t>专项赛</w:t>
      </w:r>
    </w:p>
    <w:p w14:paraId="0B4CE88D">
      <w:pPr>
        <w:keepNext w:val="0"/>
        <w:keepLines w:val="0"/>
        <w:pageBreakBefore w:val="0"/>
        <w:widowControl w:val="0"/>
        <w:tabs>
          <w:tab w:val="left" w:pos="8640"/>
        </w:tabs>
        <w:kinsoku/>
        <w:wordWrap w:val="0"/>
        <w:topLinePunct w:val="0"/>
        <w:autoSpaceDE/>
        <w:autoSpaceDN/>
        <w:bidi w:val="0"/>
        <w:adjustRightInd w:val="0"/>
        <w:snapToGrid w:val="0"/>
        <w:spacing w:line="560" w:lineRule="exact"/>
        <w:jc w:val="center"/>
        <w:rPr>
          <w:rFonts w:hint="default" w:ascii="Times New Roman" w:hAnsi="Times New Roman" w:eastAsia="方正小标宋简体" w:cs="Times New Roman"/>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—2</w:t>
      </w:r>
      <w:r>
        <w:rPr>
          <w:rFonts w:hint="eastAsia" w:eastAsia="方正小标宋简体" w:cs="方正小标宋简体"/>
          <w:b w:val="0"/>
          <w:bCs/>
          <w:kern w:val="2"/>
          <w:sz w:val="44"/>
          <w:szCs w:val="32"/>
          <w:highlight w:val="none"/>
          <w:lang w:val="en-US" w:eastAsia="zh-CN"/>
        </w:rPr>
        <w:t>1</w:t>
      </w:r>
    </w:p>
    <w:p w14:paraId="42FD6FE2">
      <w:pPr>
        <w:keepNext w:val="0"/>
        <w:keepLines w:val="0"/>
        <w:pageBreakBefore w:val="0"/>
        <w:widowControl w:val="0"/>
        <w:tabs>
          <w:tab w:val="left" w:pos="8640"/>
        </w:tabs>
        <w:kinsoku/>
        <w:wordWrap w:val="0"/>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b w:val="0"/>
          <w:bCs/>
          <w:kern w:val="2"/>
          <w:sz w:val="32"/>
          <w:szCs w:val="22"/>
          <w:highlight w:val="none"/>
          <w:lang w:val="en-US" w:eastAsia="zh-CN"/>
        </w:rPr>
      </w:pPr>
    </w:p>
    <w:p w14:paraId="1F7A9D03">
      <w:pPr>
        <w:tabs>
          <w:tab w:val="left" w:pos="8640"/>
        </w:tabs>
        <w:adjustRightInd w:val="0"/>
        <w:snapToGrid w:val="0"/>
        <w:spacing w:line="560" w:lineRule="exact"/>
        <w:ind w:firstLine="332"/>
        <w:rPr>
          <w:rFonts w:hint="eastAsia" w:ascii="方正楷体简体" w:hAnsi="方正楷体简体" w:eastAsia="方正楷体简体" w:cs="方正楷体简体"/>
          <w:bCs/>
          <w:spacing w:val="6"/>
        </w:rPr>
      </w:pPr>
      <w:r>
        <w:rPr>
          <w:rFonts w:hint="eastAsia" w:ascii="方正黑体简体" w:eastAsia="方正黑体简体"/>
          <w:bCs/>
          <w:spacing w:val="6"/>
          <w:sz w:val="32"/>
          <w:szCs w:val="32"/>
        </w:rPr>
        <w:t>一、单位信息</w:t>
      </w:r>
    </w:p>
    <w:tbl>
      <w:tblPr>
        <w:tblStyle w:val="11"/>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0B1A5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7CFDC3FF">
            <w:pPr>
              <w:adjustRightInd w:val="0"/>
              <w:spacing w:line="560" w:lineRule="exact"/>
              <w:jc w:val="center"/>
              <w:rPr>
                <w:rFonts w:hint="eastAsia" w:ascii="楷体_GB2312" w:hAnsi="楷体_GB2312" w:eastAsia="楷体_GB2312" w:cs="楷体_GB2312"/>
                <w:sz w:val="28"/>
                <w:szCs w:val="32"/>
              </w:rPr>
            </w:pPr>
            <w:r>
              <w:rPr>
                <w:rFonts w:hint="eastAsia" w:ascii="楷体_GB2312" w:hAnsi="楷体_GB2312" w:eastAsia="楷体_GB2312" w:cs="楷体_GB2312"/>
                <w:sz w:val="28"/>
                <w:szCs w:val="32"/>
              </w:rPr>
              <w:t>单位名称</w:t>
            </w:r>
          </w:p>
        </w:tc>
        <w:tc>
          <w:tcPr>
            <w:tcW w:w="6932" w:type="dxa"/>
            <w:gridSpan w:val="3"/>
            <w:vAlign w:val="center"/>
          </w:tcPr>
          <w:p w14:paraId="4F39D8F8">
            <w:pPr>
              <w:adjustRightInd w:val="0"/>
              <w:snapToGrid w:val="0"/>
              <w:ind w:firstLine="252"/>
              <w:jc w:val="center"/>
              <w:rPr>
                <w:rFonts w:hint="eastAsia" w:ascii="仿宋_GB2312" w:hAnsi="仿宋_GB2312" w:eastAsia="仿宋_GB2312" w:cs="仿宋_GB2312"/>
              </w:rPr>
            </w:pPr>
            <w:r>
              <w:rPr>
                <w:rFonts w:ascii="仿宋_GB2312" w:hAnsi="仿宋_GB2312" w:eastAsia="仿宋_GB2312" w:cs="仿宋_GB2312"/>
                <w:bCs/>
                <w:spacing w:val="6"/>
                <w:szCs w:val="28"/>
                <w:lang w:val="en-US"/>
              </w:rPr>
              <w:t>北京市昌平区发明协会</w:t>
            </w:r>
          </w:p>
        </w:tc>
      </w:tr>
      <w:tr w14:paraId="18AD5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1846DE4A">
            <w:pPr>
              <w:adjustRightInd w:val="0"/>
              <w:snapToGrid w:val="0"/>
              <w:jc w:val="center"/>
              <w:rPr>
                <w:rFonts w:hint="eastAsia" w:ascii="楷体_GB2312" w:hAnsi="楷体_GB2312" w:eastAsia="楷体_GB2312" w:cs="楷体_GB2312"/>
                <w:bCs/>
                <w:spacing w:val="6"/>
                <w:szCs w:val="28"/>
                <w:lang w:val="en-US"/>
              </w:rPr>
            </w:pPr>
            <w:r>
              <w:rPr>
                <w:rFonts w:hint="eastAsia" w:ascii="楷体_GB2312" w:hAnsi="楷体_GB2312" w:eastAsia="楷体_GB2312" w:cs="楷体_GB2312"/>
                <w:sz w:val="28"/>
                <w:szCs w:val="32"/>
                <w:lang w:val="en-US"/>
              </w:rPr>
              <w:t>单位类型</w:t>
            </w:r>
          </w:p>
        </w:tc>
        <w:tc>
          <w:tcPr>
            <w:tcW w:w="6932" w:type="dxa"/>
            <w:gridSpan w:val="3"/>
            <w:vAlign w:val="center"/>
          </w:tcPr>
          <w:p w14:paraId="67B4E1CB">
            <w:pPr>
              <w:adjustRightInd w:val="0"/>
              <w:snapToGrid w:val="0"/>
              <w:ind w:firstLine="252"/>
              <w:jc w:val="center"/>
              <w:rPr>
                <w:rFonts w:hint="eastAsia" w:ascii="仿宋_GB2312" w:hAnsi="仿宋_GB2312" w:eastAsia="仿宋_GB2312" w:cs="仿宋_GB2312"/>
                <w:bCs/>
                <w:spacing w:val="6"/>
                <w:szCs w:val="28"/>
                <w:lang w:val="en-US"/>
              </w:rPr>
            </w:pPr>
            <w:r>
              <w:rPr>
                <w:rFonts w:ascii="仿宋_GB2312" w:hAnsi="仿宋_GB2312" w:eastAsia="仿宋_GB2312" w:cs="仿宋_GB2312"/>
                <w:bCs/>
                <w:spacing w:val="6"/>
                <w:szCs w:val="28"/>
                <w:lang w:val="en-US"/>
              </w:rPr>
              <w:t>非营利性社团组织</w:t>
            </w:r>
          </w:p>
        </w:tc>
      </w:tr>
      <w:tr w14:paraId="63A69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0E759A07">
            <w:pPr>
              <w:adjustRightInd w:val="0"/>
              <w:spacing w:line="560" w:lineRule="exact"/>
              <w:jc w:val="center"/>
              <w:rPr>
                <w:rFonts w:hint="eastAsia" w:ascii="楷体_GB2312" w:hAnsi="楷体_GB2312" w:eastAsia="楷体_GB2312" w:cs="楷体_GB2312"/>
                <w:sz w:val="28"/>
                <w:szCs w:val="32"/>
              </w:rPr>
            </w:pPr>
            <w:r>
              <w:rPr>
                <w:rFonts w:hint="eastAsia" w:ascii="楷体_GB2312" w:hAnsi="楷体_GB2312" w:eastAsia="楷体_GB2312" w:cs="楷体_GB2312"/>
                <w:sz w:val="28"/>
                <w:szCs w:val="32"/>
              </w:rPr>
              <w:t>地址</w:t>
            </w:r>
          </w:p>
        </w:tc>
        <w:tc>
          <w:tcPr>
            <w:tcW w:w="6932" w:type="dxa"/>
            <w:gridSpan w:val="3"/>
            <w:vAlign w:val="center"/>
          </w:tcPr>
          <w:p w14:paraId="45E27DE3">
            <w:pPr>
              <w:adjustRightInd w:val="0"/>
              <w:ind w:firstLine="240"/>
              <w:jc w:val="center"/>
              <w:rPr>
                <w:rFonts w:hint="eastAsia" w:ascii="仿宋_GB2312" w:hAnsi="仿宋_GB2312" w:eastAsia="仿宋_GB2312" w:cs="仿宋_GB2312"/>
              </w:rPr>
            </w:pPr>
            <w:r>
              <w:rPr>
                <w:rFonts w:ascii="仿宋_GB2312" w:hAnsi="仿宋_GB2312" w:eastAsia="仿宋_GB2312" w:cs="仿宋_GB2312"/>
              </w:rPr>
              <w:t>北京市昌平区府学路科技中心大楼西南二层</w:t>
            </w:r>
          </w:p>
        </w:tc>
      </w:tr>
      <w:tr w14:paraId="2C386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35FD6433">
            <w:pPr>
              <w:adjustRightInd w:val="0"/>
              <w:spacing w:line="560" w:lineRule="exact"/>
              <w:jc w:val="center"/>
              <w:rPr>
                <w:rFonts w:hint="eastAsia" w:ascii="楷体_GB2312" w:hAnsi="楷体_GB2312" w:eastAsia="楷体_GB2312" w:cs="楷体_GB2312"/>
                <w:sz w:val="28"/>
                <w:szCs w:val="32"/>
              </w:rPr>
            </w:pPr>
            <w:r>
              <w:rPr>
                <w:rFonts w:hint="eastAsia" w:ascii="楷体_GB2312" w:hAnsi="楷体_GB2312" w:eastAsia="楷体_GB2312" w:cs="楷体_GB2312"/>
                <w:sz w:val="28"/>
                <w:szCs w:val="32"/>
                <w:lang w:val="en-US"/>
              </w:rPr>
              <w:t>单位</w:t>
            </w:r>
            <w:r>
              <w:rPr>
                <w:rFonts w:hint="eastAsia" w:ascii="楷体_GB2312" w:hAnsi="楷体_GB2312" w:eastAsia="楷体_GB2312" w:cs="楷体_GB2312"/>
                <w:sz w:val="28"/>
                <w:szCs w:val="32"/>
              </w:rPr>
              <w:t>简介</w:t>
            </w:r>
          </w:p>
        </w:tc>
        <w:tc>
          <w:tcPr>
            <w:tcW w:w="6932" w:type="dxa"/>
            <w:gridSpan w:val="3"/>
            <w:vAlign w:val="center"/>
          </w:tcPr>
          <w:p w14:paraId="243286A3">
            <w:pPr>
              <w:adjustRightInd w:val="0"/>
              <w:snapToGrid w:val="0"/>
              <w:ind w:firstLine="504" w:firstLineChars="200"/>
              <w:jc w:val="both"/>
              <w:rPr>
                <w:rFonts w:hint="eastAsia" w:ascii="仿宋_GB2312" w:hAnsi="仿宋_GB2312" w:eastAsia="仿宋_GB2312" w:cs="仿宋_GB2312"/>
                <w:bCs/>
                <w:spacing w:val="6"/>
                <w:szCs w:val="28"/>
                <w:lang w:val="en-US"/>
              </w:rPr>
            </w:pPr>
            <w:r>
              <w:rPr>
                <w:rFonts w:ascii="仿宋_GB2312" w:hAnsi="仿宋_GB2312" w:eastAsia="仿宋_GB2312" w:cs="仿宋_GB2312"/>
                <w:bCs/>
                <w:spacing w:val="6"/>
                <w:szCs w:val="28"/>
                <w:lang w:val="en-US"/>
              </w:rPr>
              <w:t>北京市昌平区发明协会是在昌平区科学技术协会指导下，经昌平区民政局核准登记成立的非营利性社会团体。协会立足区域科技创新发展，紧密围绕昌平区作为北京国际科技创新中心重要承载区的战略定位，汇聚区内高校、科研院所、高新技术企业及广大发明人的智慧与力量，致力于激发全社会创新活力，服务发明成果转化，为昌平区构建高精尖产业结构、建设科教引领型区域提供坚实支撑。</w:t>
            </w:r>
          </w:p>
          <w:p w14:paraId="379EA5C6">
            <w:pPr>
              <w:adjustRightInd w:val="0"/>
              <w:snapToGrid w:val="0"/>
              <w:ind w:firstLine="506" w:firstLineChars="200"/>
              <w:jc w:val="both"/>
              <w:rPr>
                <w:rFonts w:hint="eastAsia" w:ascii="仿宋_GB2312" w:hAnsi="仿宋_GB2312" w:eastAsia="仿宋_GB2312" w:cs="仿宋_GB2312"/>
                <w:b/>
                <w:spacing w:val="6"/>
                <w:szCs w:val="28"/>
              </w:rPr>
            </w:pPr>
            <w:r>
              <w:rPr>
                <w:rFonts w:hint="eastAsia" w:ascii="仿宋_GB2312" w:hAnsi="仿宋_GB2312" w:eastAsia="仿宋_GB2312" w:cs="仿宋_GB2312"/>
                <w:b/>
                <w:spacing w:val="6"/>
                <w:szCs w:val="28"/>
              </w:rPr>
              <w:t>协会核心宗旨与职能：</w:t>
            </w:r>
          </w:p>
          <w:p w14:paraId="2E510589">
            <w:pPr>
              <w:adjustRightInd w:val="0"/>
              <w:snapToGrid w:val="0"/>
              <w:ind w:firstLine="504" w:firstLineChars="200"/>
              <w:jc w:val="both"/>
              <w:rPr>
                <w:rFonts w:hint="eastAsia" w:ascii="仿宋_GB2312" w:hAnsi="仿宋_GB2312" w:eastAsia="仿宋_GB2312" w:cs="仿宋_GB2312"/>
                <w:bCs/>
                <w:spacing w:val="6"/>
                <w:szCs w:val="28"/>
              </w:rPr>
            </w:pPr>
            <w:r>
              <w:rPr>
                <w:rFonts w:hint="eastAsia" w:ascii="仿宋_GB2312" w:hAnsi="仿宋_GB2312" w:eastAsia="仿宋_GB2312" w:cs="仿宋_GB2312"/>
                <w:bCs/>
                <w:spacing w:val="6"/>
                <w:szCs w:val="28"/>
              </w:rPr>
              <w:t>倡导创新文化：弘扬科学精神与工匠精神，普及发明创造知识，营造尊重知识、崇尚创新、保护产权的良好社会氛围。</w:t>
            </w:r>
          </w:p>
          <w:p w14:paraId="513AFBE6">
            <w:pPr>
              <w:adjustRightInd w:val="0"/>
              <w:snapToGrid w:val="0"/>
              <w:ind w:firstLine="504" w:firstLineChars="200"/>
              <w:jc w:val="both"/>
              <w:rPr>
                <w:rFonts w:hint="eastAsia" w:ascii="仿宋_GB2312" w:hAnsi="仿宋_GB2312" w:eastAsia="仿宋_GB2312" w:cs="仿宋_GB2312"/>
                <w:bCs/>
                <w:spacing w:val="6"/>
                <w:szCs w:val="28"/>
              </w:rPr>
            </w:pPr>
            <w:r>
              <w:rPr>
                <w:rFonts w:hint="eastAsia" w:ascii="仿宋_GB2312" w:hAnsi="仿宋_GB2312" w:eastAsia="仿宋_GB2312" w:cs="仿宋_GB2312"/>
                <w:bCs/>
                <w:spacing w:val="6"/>
                <w:szCs w:val="28"/>
              </w:rPr>
              <w:t>服务发明人才：搭建发明人交流合作平台，提供知识产权咨询、专利申请导航、技术交易对接、法律维权援助等专业化服务，助力会员成长与发展。</w:t>
            </w:r>
          </w:p>
          <w:p w14:paraId="1A1B66EA">
            <w:pPr>
              <w:adjustRightInd w:val="0"/>
              <w:snapToGrid w:val="0"/>
              <w:ind w:firstLine="504" w:firstLineChars="200"/>
              <w:jc w:val="both"/>
              <w:rPr>
                <w:rFonts w:hint="eastAsia" w:ascii="仿宋_GB2312" w:hAnsi="仿宋_GB2312" w:eastAsia="仿宋_GB2312" w:cs="仿宋_GB2312"/>
                <w:bCs/>
                <w:spacing w:val="6"/>
                <w:szCs w:val="28"/>
              </w:rPr>
            </w:pPr>
            <w:r>
              <w:rPr>
                <w:rFonts w:hint="eastAsia" w:ascii="仿宋_GB2312" w:hAnsi="仿宋_GB2312" w:eastAsia="仿宋_GB2312" w:cs="仿宋_GB2312"/>
                <w:bCs/>
                <w:spacing w:val="6"/>
                <w:szCs w:val="28"/>
              </w:rPr>
              <w:t>促进成果转化：紧密对接市场需求与产业资源，组织开展项目推介、产学研合作、投融资洽谈等活动，加速优秀发明成果的产业化与应用推广。</w:t>
            </w:r>
          </w:p>
          <w:p w14:paraId="6B143AA8">
            <w:pPr>
              <w:adjustRightInd w:val="0"/>
              <w:snapToGrid w:val="0"/>
              <w:ind w:firstLine="504" w:firstLineChars="200"/>
              <w:jc w:val="both"/>
              <w:rPr>
                <w:rFonts w:hint="eastAsia" w:ascii="仿宋_GB2312" w:hAnsi="仿宋_GB2312" w:eastAsia="仿宋_GB2312" w:cs="仿宋_GB2312"/>
                <w:bCs/>
                <w:spacing w:val="6"/>
                <w:szCs w:val="28"/>
              </w:rPr>
            </w:pPr>
            <w:r>
              <w:rPr>
                <w:rFonts w:hint="eastAsia" w:ascii="仿宋_GB2312" w:hAnsi="仿宋_GB2312" w:eastAsia="仿宋_GB2312" w:cs="仿宋_GB2312"/>
                <w:bCs/>
                <w:spacing w:val="6"/>
                <w:szCs w:val="28"/>
              </w:rPr>
              <w:t>承接政府服务：积极承担政府转移职能与委托项目，参与区域创新政策研究、科技评价、人才举荐等工作，发挥桥梁纽带作用。</w:t>
            </w:r>
          </w:p>
          <w:p w14:paraId="6AD42CDA">
            <w:pPr>
              <w:adjustRightInd w:val="0"/>
              <w:snapToGrid w:val="0"/>
              <w:ind w:firstLine="504" w:firstLineChars="200"/>
              <w:jc w:val="both"/>
              <w:rPr>
                <w:rFonts w:hint="eastAsia" w:ascii="仿宋_GB2312" w:hAnsi="仿宋_GB2312" w:eastAsia="仿宋_GB2312" w:cs="仿宋_GB2312"/>
                <w:bCs/>
                <w:spacing w:val="6"/>
                <w:szCs w:val="28"/>
              </w:rPr>
            </w:pPr>
            <w:r>
              <w:rPr>
                <w:rFonts w:hint="eastAsia" w:ascii="仿宋_GB2312" w:hAnsi="仿宋_GB2312" w:eastAsia="仿宋_GB2312" w:cs="仿宋_GB2312"/>
                <w:bCs/>
                <w:spacing w:val="6"/>
                <w:szCs w:val="28"/>
              </w:rPr>
              <w:t>开展交流合作：组织国内外技术考察、学术研讨、创新竞赛及展览展示活动，拓宽会员视野，促进跨区域、跨领域的协同创新。</w:t>
            </w:r>
          </w:p>
          <w:p w14:paraId="17F4A1AA">
            <w:pPr>
              <w:adjustRightInd w:val="0"/>
              <w:snapToGrid w:val="0"/>
              <w:ind w:firstLine="506" w:firstLineChars="200"/>
              <w:jc w:val="both"/>
              <w:rPr>
                <w:rFonts w:hint="eastAsia" w:ascii="仿宋_GB2312" w:hAnsi="仿宋_GB2312" w:eastAsia="仿宋_GB2312" w:cs="仿宋_GB2312"/>
                <w:b/>
                <w:spacing w:val="6"/>
                <w:szCs w:val="28"/>
              </w:rPr>
            </w:pPr>
            <w:r>
              <w:rPr>
                <w:rFonts w:hint="eastAsia" w:ascii="仿宋_GB2312" w:hAnsi="仿宋_GB2312" w:eastAsia="仿宋_GB2312" w:cs="仿宋_GB2312"/>
                <w:b/>
                <w:spacing w:val="6"/>
                <w:szCs w:val="28"/>
              </w:rPr>
              <w:t>服务对象与合作伙伴：</w:t>
            </w:r>
          </w:p>
          <w:p w14:paraId="1EEABF4A">
            <w:pPr>
              <w:adjustRightInd w:val="0"/>
              <w:snapToGrid w:val="0"/>
              <w:ind w:firstLine="504" w:firstLineChars="200"/>
              <w:jc w:val="both"/>
              <w:rPr>
                <w:rFonts w:hint="eastAsia" w:ascii="仿宋_GB2312" w:hAnsi="仿宋_GB2312" w:eastAsia="仿宋_GB2312" w:cs="仿宋_GB2312"/>
                <w:bCs/>
                <w:spacing w:val="6"/>
                <w:szCs w:val="28"/>
              </w:rPr>
            </w:pPr>
            <w:r>
              <w:rPr>
                <w:rFonts w:hint="eastAsia" w:ascii="仿宋_GB2312" w:hAnsi="仿宋_GB2312" w:eastAsia="仿宋_GB2312" w:cs="仿宋_GB2312"/>
                <w:bCs/>
                <w:spacing w:val="6"/>
                <w:szCs w:val="28"/>
              </w:rPr>
              <w:t>协会面向全区企业科技研发人员、高校师生、科研工作者、中小学科技教师、职业发明人及创新团队，并与政府部门、产业园区、孵化器、金融机构、知识产权服务机构及媒体建立广泛合作关系，共同构建充满活力的区域创新生态。</w:t>
            </w:r>
          </w:p>
          <w:p w14:paraId="15D0BD43">
            <w:pPr>
              <w:adjustRightInd w:val="0"/>
              <w:snapToGrid w:val="0"/>
              <w:ind w:firstLine="506" w:firstLineChars="200"/>
              <w:jc w:val="both"/>
              <w:rPr>
                <w:rFonts w:hint="eastAsia" w:ascii="仿宋_GB2312" w:hAnsi="仿宋_GB2312" w:eastAsia="仿宋_GB2312" w:cs="仿宋_GB2312"/>
                <w:b/>
                <w:spacing w:val="6"/>
                <w:szCs w:val="28"/>
              </w:rPr>
            </w:pPr>
            <w:r>
              <w:rPr>
                <w:rFonts w:hint="eastAsia" w:ascii="仿宋_GB2312" w:hAnsi="仿宋_GB2312" w:eastAsia="仿宋_GB2312" w:cs="仿宋_GB2312"/>
                <w:b/>
                <w:spacing w:val="6"/>
                <w:szCs w:val="28"/>
              </w:rPr>
              <w:t>特色与优势：</w:t>
            </w:r>
          </w:p>
          <w:p w14:paraId="362ED3F7">
            <w:pPr>
              <w:adjustRightInd w:val="0"/>
              <w:snapToGrid w:val="0"/>
              <w:ind w:firstLine="504" w:firstLineChars="200"/>
              <w:jc w:val="both"/>
              <w:rPr>
                <w:rFonts w:hint="eastAsia" w:ascii="仿宋_GB2312" w:hAnsi="仿宋_GB2312" w:eastAsia="仿宋_GB2312" w:cs="仿宋_GB2312"/>
                <w:bCs/>
                <w:spacing w:val="6"/>
                <w:szCs w:val="28"/>
              </w:rPr>
            </w:pPr>
            <w:r>
              <w:rPr>
                <w:rFonts w:hint="eastAsia" w:ascii="仿宋_GB2312" w:hAnsi="仿宋_GB2312" w:eastAsia="仿宋_GB2312" w:cs="仿宋_GB2312"/>
                <w:bCs/>
                <w:spacing w:val="6"/>
                <w:szCs w:val="28"/>
              </w:rPr>
              <w:t>依托昌平区丰富的教育科技资源（如未来科学城、中关村昌平园、沙河高教园区等），协会具有独特的区位与资源优势，能够有效链接“政产学研金介用”各方要素，为会员提供精准、务实、高效的“一站式”创新服务。</w:t>
            </w:r>
          </w:p>
        </w:tc>
      </w:tr>
      <w:tr w14:paraId="6977C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5CED79AF">
            <w:pPr>
              <w:adjustRightInd w:val="0"/>
              <w:snapToGrid w:val="0"/>
              <w:jc w:val="center"/>
              <w:rPr>
                <w:rFonts w:hint="eastAsia" w:ascii="楷体_GB2312" w:hAnsi="楷体_GB2312" w:eastAsia="楷体_GB2312" w:cs="楷体_GB2312"/>
                <w:bCs/>
                <w:spacing w:val="6"/>
                <w:szCs w:val="28"/>
              </w:rPr>
            </w:pPr>
            <w:r>
              <w:rPr>
                <w:rFonts w:hint="eastAsia" w:ascii="楷体_GB2312" w:hAnsi="楷体_GB2312" w:eastAsia="楷体_GB2312" w:cs="楷体_GB2312"/>
                <w:sz w:val="28"/>
                <w:szCs w:val="32"/>
                <w:lang w:val="en-US"/>
              </w:rPr>
              <w:t>联系人</w:t>
            </w:r>
          </w:p>
        </w:tc>
        <w:tc>
          <w:tcPr>
            <w:tcW w:w="3076" w:type="dxa"/>
            <w:vAlign w:val="center"/>
          </w:tcPr>
          <w:p w14:paraId="411F979C">
            <w:pPr>
              <w:adjustRightInd w:val="0"/>
              <w:snapToGrid w:val="0"/>
              <w:jc w:val="center"/>
              <w:rPr>
                <w:rFonts w:hint="eastAsia" w:ascii="仿宋_GB2312" w:hAnsi="仿宋_GB2312" w:eastAsia="仿宋_GB2312" w:cs="仿宋_GB2312"/>
                <w:bCs/>
                <w:spacing w:val="6"/>
                <w:szCs w:val="28"/>
                <w:lang w:val="en-US"/>
              </w:rPr>
            </w:pPr>
            <w:r>
              <w:rPr>
                <w:rFonts w:ascii="仿宋_GB2312" w:hAnsi="仿宋_GB2312" w:eastAsia="仿宋_GB2312" w:cs="仿宋_GB2312"/>
                <w:bCs/>
                <w:spacing w:val="6"/>
                <w:szCs w:val="28"/>
                <w:lang w:val="en-US"/>
              </w:rPr>
              <w:t>赵展芸</w:t>
            </w:r>
          </w:p>
        </w:tc>
        <w:tc>
          <w:tcPr>
            <w:tcW w:w="1073" w:type="dxa"/>
            <w:vAlign w:val="center"/>
          </w:tcPr>
          <w:p w14:paraId="00526ABD">
            <w:pPr>
              <w:adjustRightInd w:val="0"/>
              <w:spacing w:line="560" w:lineRule="exact"/>
              <w:jc w:val="center"/>
              <w:rPr>
                <w:rFonts w:hint="eastAsia" w:ascii="楷体_GB2312" w:hAnsi="楷体_GB2312" w:eastAsia="楷体_GB2312" w:cs="楷体_GB2312"/>
                <w:sz w:val="28"/>
                <w:szCs w:val="32"/>
              </w:rPr>
            </w:pPr>
            <w:r>
              <w:rPr>
                <w:rFonts w:hint="eastAsia" w:ascii="楷体_GB2312" w:hAnsi="楷体_GB2312" w:eastAsia="楷体_GB2312" w:cs="楷体_GB2312"/>
                <w:sz w:val="28"/>
                <w:szCs w:val="32"/>
              </w:rPr>
              <w:t>职务</w:t>
            </w:r>
          </w:p>
        </w:tc>
        <w:tc>
          <w:tcPr>
            <w:tcW w:w="2783" w:type="dxa"/>
            <w:vAlign w:val="center"/>
          </w:tcPr>
          <w:p w14:paraId="498D8924">
            <w:pPr>
              <w:adjustRightInd w:val="0"/>
              <w:snapToGrid w:val="0"/>
              <w:jc w:val="center"/>
              <w:rPr>
                <w:rFonts w:eastAsia="方正仿宋简体"/>
              </w:rPr>
            </w:pPr>
            <w:r>
              <w:rPr>
                <w:rFonts w:hint="eastAsia" w:ascii="仿宋_GB2312" w:hAnsi="仿宋_GB2312" w:eastAsia="仿宋_GB2312" w:cs="仿宋_GB2312"/>
                <w:bCs/>
                <w:spacing w:val="6"/>
                <w:szCs w:val="28"/>
                <w:lang w:val="en-US"/>
              </w:rPr>
              <w:t>负责人</w:t>
            </w:r>
          </w:p>
        </w:tc>
      </w:tr>
      <w:tr w14:paraId="05816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406C35AF">
            <w:pPr>
              <w:adjustRightInd w:val="0"/>
              <w:snapToGrid w:val="0"/>
              <w:jc w:val="center"/>
              <w:rPr>
                <w:rFonts w:hint="eastAsia" w:ascii="楷体_GB2312" w:hAnsi="楷体_GB2312" w:eastAsia="楷体_GB2312" w:cs="楷体_GB2312"/>
                <w:bCs/>
                <w:spacing w:val="6"/>
                <w:szCs w:val="28"/>
                <w:lang w:val="en-US"/>
              </w:rPr>
            </w:pPr>
            <w:r>
              <w:rPr>
                <w:rFonts w:hint="eastAsia" w:ascii="楷体_GB2312" w:hAnsi="楷体_GB2312" w:eastAsia="楷体_GB2312" w:cs="楷体_GB2312"/>
                <w:sz w:val="28"/>
                <w:szCs w:val="32"/>
                <w:lang w:val="en-US"/>
              </w:rPr>
              <w:t>联系方式</w:t>
            </w:r>
          </w:p>
        </w:tc>
        <w:tc>
          <w:tcPr>
            <w:tcW w:w="3076" w:type="dxa"/>
            <w:vAlign w:val="center"/>
          </w:tcPr>
          <w:p w14:paraId="008121C1">
            <w:pPr>
              <w:adjustRightInd w:val="0"/>
              <w:snapToGrid w:val="0"/>
              <w:jc w:val="center"/>
              <w:rPr>
                <w:rFonts w:hint="eastAsia" w:ascii="仿宋_GB2312" w:hAnsi="仿宋_GB2312" w:eastAsia="仿宋_GB2312" w:cs="仿宋_GB2312"/>
                <w:bCs/>
                <w:spacing w:val="6"/>
                <w:szCs w:val="28"/>
                <w:lang w:val="en-US"/>
              </w:rPr>
            </w:pPr>
            <w:r>
              <w:rPr>
                <w:rFonts w:hint="eastAsia" w:ascii="仿宋_GB2312" w:hAnsi="仿宋_GB2312" w:eastAsia="仿宋_GB2312" w:cs="仿宋_GB2312"/>
                <w:bCs/>
                <w:spacing w:val="6"/>
                <w:szCs w:val="28"/>
                <w:lang w:val="en-US"/>
              </w:rPr>
              <w:t>13811273387</w:t>
            </w:r>
          </w:p>
        </w:tc>
        <w:tc>
          <w:tcPr>
            <w:tcW w:w="1073" w:type="dxa"/>
            <w:vAlign w:val="center"/>
          </w:tcPr>
          <w:p w14:paraId="037FC430">
            <w:pPr>
              <w:adjustRightInd w:val="0"/>
              <w:spacing w:line="560" w:lineRule="exact"/>
              <w:jc w:val="center"/>
              <w:rPr>
                <w:rFonts w:hint="eastAsia" w:ascii="楷体_GB2312" w:hAnsi="楷体_GB2312" w:eastAsia="楷体_GB2312" w:cs="楷体_GB2312"/>
                <w:sz w:val="28"/>
                <w:szCs w:val="32"/>
              </w:rPr>
            </w:pPr>
            <w:r>
              <w:rPr>
                <w:rFonts w:hint="eastAsia" w:ascii="楷体_GB2312" w:hAnsi="楷体_GB2312" w:eastAsia="楷体_GB2312" w:cs="楷体_GB2312"/>
                <w:sz w:val="28"/>
                <w:szCs w:val="32"/>
              </w:rPr>
              <w:t>微信</w:t>
            </w:r>
          </w:p>
        </w:tc>
        <w:tc>
          <w:tcPr>
            <w:tcW w:w="2783" w:type="dxa"/>
            <w:vAlign w:val="center"/>
          </w:tcPr>
          <w:p w14:paraId="63A94119">
            <w:pPr>
              <w:adjustRightInd w:val="0"/>
              <w:ind w:firstLine="240"/>
              <w:jc w:val="center"/>
              <w:rPr>
                <w:rFonts w:eastAsia="方正仿宋简体"/>
              </w:rPr>
            </w:pPr>
          </w:p>
        </w:tc>
      </w:tr>
    </w:tbl>
    <w:p w14:paraId="15A934E8">
      <w:pPr>
        <w:tabs>
          <w:tab w:val="left" w:pos="8640"/>
        </w:tabs>
        <w:adjustRightInd w:val="0"/>
        <w:snapToGrid w:val="0"/>
        <w:spacing w:line="560" w:lineRule="exact"/>
        <w:ind w:firstLine="332"/>
        <w:rPr>
          <w:rFonts w:ascii="方正黑体简体" w:eastAsia="方正黑体简体"/>
          <w:bCs/>
          <w:spacing w:val="6"/>
          <w:sz w:val="32"/>
          <w:szCs w:val="32"/>
        </w:rPr>
      </w:pPr>
      <w:r>
        <w:rPr>
          <w:rFonts w:hint="eastAsia" w:ascii="方正黑体简体" w:eastAsia="方正黑体简体"/>
          <w:bCs/>
          <w:spacing w:val="6"/>
          <w:sz w:val="32"/>
          <w:szCs w:val="32"/>
        </w:rPr>
        <w:t>二、选题说明</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187B77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C76462C">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lang w:val="en-US"/>
              </w:rPr>
              <w:t>选题</w:t>
            </w:r>
            <w:r>
              <w:rPr>
                <w:rFonts w:hint="eastAsia" w:ascii="楷体_GB2312" w:hAnsi="楷体_GB2312" w:eastAsia="楷体_GB2312" w:cs="楷体_GB2312"/>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4F86E5D">
            <w:pPr>
              <w:adjustRightInd w:val="0"/>
              <w:snapToGrid w:val="0"/>
              <w:ind w:firstLine="504" w:firstLineChars="200"/>
              <w:jc w:val="both"/>
              <w:rPr>
                <w:rFonts w:hint="eastAsia" w:ascii="仿宋_GB2312" w:hAnsi="仿宋_GB2312" w:eastAsia="仿宋_GB2312" w:cs="仿宋_GB2312"/>
                <w:color w:val="000000"/>
              </w:rPr>
            </w:pPr>
            <w:r>
              <w:rPr>
                <w:rFonts w:ascii="仿宋_GB2312" w:hAnsi="仿宋_GB2312" w:eastAsia="仿宋_GB2312" w:cs="仿宋_GB2312"/>
                <w:bCs/>
                <w:color w:val="000000"/>
                <w:spacing w:val="6"/>
                <w:szCs w:val="28"/>
              </w:rPr>
              <w:t>智能化电网故障检测系统设计</w:t>
            </w:r>
          </w:p>
        </w:tc>
      </w:tr>
      <w:tr w14:paraId="053110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CFBCAAE">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BEEA10F">
            <w:pPr>
              <w:adjustRightInd w:val="0"/>
              <w:snapToGrid w:val="0"/>
              <w:ind w:firstLine="504" w:firstLineChars="200"/>
              <w:jc w:val="both"/>
              <w:rPr>
                <w:rFonts w:hint="eastAsia" w:ascii="仿宋_GB2312" w:hAnsi="仿宋_GB2312" w:eastAsia="仿宋_GB2312" w:cs="仿宋_GB2312"/>
                <w:color w:val="000000"/>
              </w:rPr>
            </w:pPr>
            <w:r>
              <w:rPr>
                <w:rFonts w:hint="eastAsia" w:ascii="仿宋_GB2312" w:hAnsi="仿宋_GB2312" w:eastAsia="仿宋_GB2312" w:cs="仿宋_GB2312"/>
                <w:bCs/>
                <w:color w:val="000000"/>
                <w:spacing w:val="6"/>
                <w:szCs w:val="28"/>
              </w:rPr>
              <w:t>新一代信息技术、</w:t>
            </w:r>
            <w:r>
              <w:rPr>
                <w:rFonts w:ascii="仿宋_GB2312" w:hAnsi="仿宋_GB2312" w:eastAsia="仿宋_GB2312" w:cs="仿宋_GB2312"/>
                <w:bCs/>
                <w:color w:val="000000"/>
                <w:spacing w:val="6"/>
                <w:szCs w:val="28"/>
              </w:rPr>
              <w:t>人工智能</w:t>
            </w:r>
          </w:p>
        </w:tc>
      </w:tr>
      <w:tr w14:paraId="3C1D1A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94E0023">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C53C19D">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1. 选题背景</w:t>
            </w:r>
          </w:p>
          <w:p w14:paraId="6437A522">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随着新型电力系统的快速建设和新能源的大规模接入，电网结构日益复杂，运行方式灵活多变。传统故障检测方法在应对高比例可再生能源、分布式电源、交直流混联等新型电网形态时，面临检测速度慢、准确率低、适应性差等挑战。近年来，人工智能、大数据、物联网等技术的成熟为电网故障智能化检测提供了新的技术路径。本项目旨在通过“揭榜挂帅”机制，征集创新性强、实用性高的智能化电网故障检测系统设计方案，突破技术瓶颈，提升电网安全稳定运行水平。</w:t>
            </w:r>
          </w:p>
          <w:p w14:paraId="7F986053">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ascii="仿宋_GB2312" w:hAnsi="仿宋_GB2312" w:eastAsia="仿宋_GB2312" w:cs="仿宋_GB2312"/>
                <w:bCs/>
                <w:color w:val="000000"/>
                <w:spacing w:val="6"/>
                <w:szCs w:val="28"/>
                <w:lang w:val="en-US"/>
              </w:rPr>
              <w:t xml:space="preserve">2. </w:t>
            </w:r>
            <w:r>
              <w:rPr>
                <w:rFonts w:hint="eastAsia" w:ascii="仿宋_GB2312" w:hAnsi="仿宋_GB2312" w:eastAsia="仿宋_GB2312" w:cs="仿宋_GB2312"/>
                <w:bCs/>
                <w:color w:val="000000"/>
                <w:spacing w:val="6"/>
                <w:szCs w:val="28"/>
                <w:lang w:val="en-US"/>
              </w:rPr>
              <w:t>需求分析</w:t>
            </w:r>
          </w:p>
          <w:p w14:paraId="13B4451E">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快速精准检测需求：需在毫秒级时间内完成故障识别、定位与分类，减少停电时间和范围</w:t>
            </w:r>
          </w:p>
          <w:p w14:paraId="0B60A799">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复杂场景适应性需求：能够适应新能源波动、负荷突变、谐波干扰等多种复杂运行场景</w:t>
            </w:r>
          </w:p>
          <w:p w14:paraId="24CCA4D9">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超前预警需求：实现故障萌芽状态的早期识别与预警，变被动处置为主动防御</w:t>
            </w:r>
          </w:p>
          <w:p w14:paraId="073D7CE0">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资源高效利用需求：降低对硬件设备的过度依赖，充分利用现有量测装置和数据资源</w:t>
            </w:r>
          </w:p>
          <w:p w14:paraId="6F821CE7">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运维智能化需求：提供故障原因分析、处置建议等决策支持，提升运维效率</w:t>
            </w:r>
          </w:p>
          <w:p w14:paraId="08AC46CB">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ascii="仿宋_GB2312" w:hAnsi="仿宋_GB2312" w:eastAsia="仿宋_GB2312" w:cs="仿宋_GB2312"/>
                <w:bCs/>
                <w:color w:val="000000"/>
                <w:spacing w:val="6"/>
                <w:szCs w:val="28"/>
                <w:lang w:val="en-US"/>
              </w:rPr>
              <w:t xml:space="preserve">3. </w:t>
            </w:r>
            <w:r>
              <w:rPr>
                <w:rFonts w:hint="eastAsia" w:ascii="仿宋_GB2312" w:hAnsi="仿宋_GB2312" w:eastAsia="仿宋_GB2312" w:cs="仿宋_GB2312"/>
                <w:bCs/>
                <w:color w:val="000000"/>
                <w:spacing w:val="6"/>
                <w:szCs w:val="28"/>
                <w:lang w:val="en-US"/>
              </w:rPr>
              <w:t>应用场景</w:t>
            </w:r>
          </w:p>
          <w:p w14:paraId="542494DD">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省级及以上调度控制中心的电网实时监控与故障分析</w:t>
            </w:r>
          </w:p>
          <w:p w14:paraId="4D5FB47A">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配电自动化系统的故障定位与隔离</w:t>
            </w:r>
          </w:p>
          <w:p w14:paraId="46B358DF">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新能源场站并网点故障检测与保护</w:t>
            </w:r>
          </w:p>
          <w:p w14:paraId="6B07926F">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城市配电网、工业园区等关键区域的供电可靠性提升</w:t>
            </w:r>
          </w:p>
          <w:p w14:paraId="4B4EA150">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电网设备状态评估与预测性维护</w:t>
            </w:r>
          </w:p>
        </w:tc>
      </w:tr>
      <w:tr w14:paraId="6E435C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4A55924">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71625A3">
            <w:pPr>
              <w:adjustRightInd w:val="0"/>
              <w:snapToGrid w:val="0"/>
              <w:ind w:firstLine="504" w:firstLineChars="200"/>
              <w:rPr>
                <w:rFonts w:hint="eastAsia" w:ascii="仿宋_GB2312" w:hAnsi="仿宋_GB2312" w:eastAsia="仿宋_GB2312" w:cs="仿宋_GB2312"/>
                <w:bCs/>
                <w:color w:val="000000"/>
                <w:spacing w:val="6"/>
                <w:szCs w:val="28"/>
              </w:rPr>
            </w:pPr>
            <w:r>
              <w:rPr>
                <w:rFonts w:ascii="仿宋_GB2312" w:hAnsi="仿宋_GB2312" w:eastAsia="仿宋_GB2312" w:cs="仿宋_GB2312"/>
                <w:bCs/>
                <w:color w:val="000000"/>
                <w:spacing w:val="6"/>
                <w:szCs w:val="28"/>
              </w:rPr>
              <w:t xml:space="preserve">1. </w:t>
            </w:r>
            <w:r>
              <w:rPr>
                <w:rFonts w:hint="eastAsia" w:ascii="仿宋_GB2312" w:hAnsi="仿宋_GB2312" w:eastAsia="仿宋_GB2312" w:cs="仿宋_GB2312"/>
                <w:bCs/>
                <w:color w:val="000000"/>
                <w:spacing w:val="6"/>
                <w:szCs w:val="28"/>
              </w:rPr>
              <w:t>设计内容要求</w:t>
            </w:r>
          </w:p>
          <w:p w14:paraId="17AEAD1E">
            <w:pPr>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提出完整的系统架构设计，包括数据采集层、通信层、平台层和应用层</w:t>
            </w:r>
          </w:p>
          <w:p w14:paraId="202F01D5">
            <w:pPr>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设计至少</w:t>
            </w:r>
            <w:r>
              <w:rPr>
                <w:rFonts w:ascii="仿宋_GB2312" w:hAnsi="仿宋_GB2312" w:eastAsia="仿宋_GB2312" w:cs="仿宋_GB2312"/>
                <w:bCs/>
                <w:color w:val="000000"/>
                <w:spacing w:val="6"/>
                <w:szCs w:val="28"/>
              </w:rPr>
              <w:t>3</w:t>
            </w:r>
            <w:r>
              <w:rPr>
                <w:rFonts w:hint="eastAsia" w:ascii="仿宋_GB2312" w:hAnsi="仿宋_GB2312" w:eastAsia="仿宋_GB2312" w:cs="仿宋_GB2312"/>
                <w:bCs/>
                <w:color w:val="000000"/>
                <w:spacing w:val="6"/>
                <w:szCs w:val="28"/>
              </w:rPr>
              <w:t>种创新的故障检测算法或模型（如基于深度学习的暂态信号识别、图神经网络的拓扑关联分析等）</w:t>
            </w:r>
          </w:p>
          <w:p w14:paraId="530B6041">
            <w:pPr>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包含系统与现有调度自动化系统（如</w:t>
            </w:r>
            <w:r>
              <w:rPr>
                <w:rFonts w:ascii="仿宋_GB2312" w:hAnsi="仿宋_GB2312" w:eastAsia="仿宋_GB2312" w:cs="仿宋_GB2312"/>
                <w:bCs/>
                <w:color w:val="000000"/>
                <w:spacing w:val="6"/>
                <w:szCs w:val="28"/>
              </w:rPr>
              <w:t>SCADA</w:t>
            </w:r>
            <w:r>
              <w:rPr>
                <w:rFonts w:hint="eastAsia" w:ascii="仿宋_GB2312" w:hAnsi="仿宋_GB2312" w:eastAsia="仿宋_GB2312" w:cs="仿宋_GB2312"/>
                <w:bCs/>
                <w:color w:val="000000"/>
                <w:spacing w:val="6"/>
                <w:szCs w:val="28"/>
              </w:rPr>
              <w:t>、</w:t>
            </w:r>
            <w:r>
              <w:rPr>
                <w:rFonts w:ascii="仿宋_GB2312" w:hAnsi="仿宋_GB2312" w:eastAsia="仿宋_GB2312" w:cs="仿宋_GB2312"/>
                <w:bCs/>
                <w:color w:val="000000"/>
                <w:spacing w:val="6"/>
                <w:szCs w:val="28"/>
              </w:rPr>
              <w:t>WAMS</w:t>
            </w:r>
            <w:r>
              <w:rPr>
                <w:rFonts w:hint="eastAsia" w:ascii="仿宋_GB2312" w:hAnsi="仿宋_GB2312" w:eastAsia="仿宋_GB2312" w:cs="仿宋_GB2312"/>
                <w:bCs/>
                <w:color w:val="000000"/>
                <w:spacing w:val="6"/>
                <w:szCs w:val="28"/>
              </w:rPr>
              <w:t>）的集成方案</w:t>
            </w:r>
          </w:p>
          <w:p w14:paraId="06DECB11">
            <w:pPr>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提供系统部署实施方案及硬件配置建议</w:t>
            </w:r>
          </w:p>
          <w:p w14:paraId="081E269F">
            <w:pPr>
              <w:adjustRightInd w:val="0"/>
              <w:snapToGrid w:val="0"/>
              <w:ind w:firstLine="504" w:firstLineChars="200"/>
              <w:rPr>
                <w:rFonts w:hint="eastAsia" w:ascii="仿宋_GB2312" w:hAnsi="仿宋_GB2312" w:eastAsia="仿宋_GB2312" w:cs="仿宋_GB2312"/>
                <w:bCs/>
                <w:color w:val="000000"/>
                <w:spacing w:val="6"/>
                <w:szCs w:val="28"/>
              </w:rPr>
            </w:pPr>
            <w:r>
              <w:rPr>
                <w:rFonts w:ascii="仿宋_GB2312" w:hAnsi="仿宋_GB2312" w:eastAsia="仿宋_GB2312" w:cs="仿宋_GB2312"/>
                <w:bCs/>
                <w:color w:val="000000"/>
                <w:spacing w:val="6"/>
                <w:szCs w:val="28"/>
              </w:rPr>
              <w:t xml:space="preserve">2. </w:t>
            </w:r>
            <w:r>
              <w:rPr>
                <w:rFonts w:hint="eastAsia" w:ascii="仿宋_GB2312" w:hAnsi="仿宋_GB2312" w:eastAsia="仿宋_GB2312" w:cs="仿宋_GB2312"/>
                <w:bCs/>
                <w:color w:val="000000"/>
                <w:spacing w:val="6"/>
                <w:szCs w:val="28"/>
              </w:rPr>
              <w:t>提交形式</w:t>
            </w:r>
          </w:p>
          <w:p w14:paraId="07BC4FFF">
            <w:pPr>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技术方案报告：</w:t>
            </w:r>
            <w:r>
              <w:rPr>
                <w:rFonts w:ascii="仿宋_GB2312" w:hAnsi="仿宋_GB2312" w:eastAsia="仿宋_GB2312" w:cs="仿宋_GB2312"/>
                <w:bCs/>
                <w:color w:val="000000"/>
                <w:spacing w:val="6"/>
                <w:szCs w:val="28"/>
              </w:rPr>
              <w:t>PDF</w:t>
            </w:r>
            <w:r>
              <w:rPr>
                <w:rFonts w:hint="eastAsia" w:ascii="仿宋_GB2312" w:hAnsi="仿宋_GB2312" w:eastAsia="仿宋_GB2312" w:cs="仿宋_GB2312"/>
                <w:bCs/>
                <w:color w:val="000000"/>
                <w:spacing w:val="6"/>
                <w:szCs w:val="28"/>
              </w:rPr>
              <w:t>格式，不少于</w:t>
            </w:r>
            <w:r>
              <w:rPr>
                <w:rFonts w:ascii="仿宋_GB2312" w:hAnsi="仿宋_GB2312" w:eastAsia="仿宋_GB2312" w:cs="仿宋_GB2312"/>
                <w:bCs/>
                <w:color w:val="000000"/>
                <w:spacing w:val="6"/>
                <w:szCs w:val="28"/>
              </w:rPr>
              <w:t>50</w:t>
            </w:r>
            <w:r>
              <w:rPr>
                <w:rFonts w:hint="eastAsia" w:ascii="仿宋_GB2312" w:hAnsi="仿宋_GB2312" w:eastAsia="仿宋_GB2312" w:cs="仿宋_GB2312"/>
                <w:bCs/>
                <w:color w:val="000000"/>
                <w:spacing w:val="6"/>
                <w:szCs w:val="28"/>
              </w:rPr>
              <w:t>页，包含完整设计方案、技术路线、创新点、实施计划等</w:t>
            </w:r>
          </w:p>
          <w:p w14:paraId="15E38E6D">
            <w:pPr>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算法仿真验证：提供</w:t>
            </w:r>
            <w:r>
              <w:rPr>
                <w:rFonts w:ascii="仿宋_GB2312" w:hAnsi="仿宋_GB2312" w:eastAsia="仿宋_GB2312" w:cs="仿宋_GB2312"/>
                <w:bCs/>
                <w:color w:val="000000"/>
                <w:spacing w:val="6"/>
                <w:szCs w:val="28"/>
              </w:rPr>
              <w:t>MATLAB/Python</w:t>
            </w:r>
            <w:r>
              <w:rPr>
                <w:rFonts w:hint="eastAsia" w:ascii="仿宋_GB2312" w:hAnsi="仿宋_GB2312" w:eastAsia="仿宋_GB2312" w:cs="仿宋_GB2312"/>
                <w:bCs/>
                <w:color w:val="000000"/>
                <w:spacing w:val="6"/>
                <w:szCs w:val="28"/>
              </w:rPr>
              <w:t>仿真代码及测试数据集，展示核心算法性能</w:t>
            </w:r>
          </w:p>
          <w:p w14:paraId="65868CAB">
            <w:pPr>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系统原型演示（可选加分项）：可运行的软件原型或仿真平台演示视频（</w:t>
            </w:r>
            <w:r>
              <w:rPr>
                <w:rFonts w:ascii="仿宋_GB2312" w:hAnsi="仿宋_GB2312" w:eastAsia="仿宋_GB2312" w:cs="仿宋_GB2312"/>
                <w:bCs/>
                <w:color w:val="000000"/>
                <w:spacing w:val="6"/>
                <w:szCs w:val="28"/>
              </w:rPr>
              <w:t>10</w:t>
            </w:r>
            <w:r>
              <w:rPr>
                <w:rFonts w:hint="eastAsia" w:ascii="仿宋_GB2312" w:hAnsi="仿宋_GB2312" w:eastAsia="仿宋_GB2312" w:cs="仿宋_GB2312"/>
                <w:bCs/>
                <w:color w:val="000000"/>
                <w:spacing w:val="6"/>
                <w:szCs w:val="28"/>
              </w:rPr>
              <w:t>分钟内）</w:t>
            </w:r>
          </w:p>
          <w:p w14:paraId="2F7D6064">
            <w:pPr>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知识产权分析报告：相关技术专利检索与分析</w:t>
            </w:r>
          </w:p>
          <w:p w14:paraId="0F38E1D0">
            <w:pPr>
              <w:adjustRightInd w:val="0"/>
              <w:snapToGrid w:val="0"/>
              <w:ind w:firstLine="504" w:firstLineChars="200"/>
              <w:rPr>
                <w:rFonts w:hint="eastAsia" w:ascii="仿宋_GB2312" w:hAnsi="仿宋_GB2312" w:eastAsia="仿宋_GB2312" w:cs="仿宋_GB2312"/>
                <w:bCs/>
                <w:color w:val="000000"/>
                <w:spacing w:val="6"/>
                <w:szCs w:val="28"/>
              </w:rPr>
            </w:pPr>
            <w:r>
              <w:rPr>
                <w:rFonts w:ascii="仿宋_GB2312" w:hAnsi="仿宋_GB2312" w:eastAsia="仿宋_GB2312" w:cs="仿宋_GB2312"/>
                <w:bCs/>
                <w:color w:val="000000"/>
                <w:spacing w:val="6"/>
                <w:szCs w:val="28"/>
              </w:rPr>
              <w:t xml:space="preserve">3. </w:t>
            </w:r>
            <w:r>
              <w:rPr>
                <w:rFonts w:hint="eastAsia" w:ascii="仿宋_GB2312" w:hAnsi="仿宋_GB2312" w:eastAsia="仿宋_GB2312" w:cs="仿宋_GB2312"/>
                <w:bCs/>
                <w:color w:val="000000"/>
                <w:spacing w:val="6"/>
                <w:szCs w:val="28"/>
              </w:rPr>
              <w:t>时间要求</w:t>
            </w:r>
          </w:p>
          <w:p w14:paraId="5C34F79D">
            <w:pPr>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以竞赛组委会赛程安排为准</w:t>
            </w:r>
          </w:p>
          <w:p w14:paraId="770C3B0B">
            <w:pPr>
              <w:adjustRightInd w:val="0"/>
              <w:snapToGrid w:val="0"/>
              <w:ind w:firstLine="504" w:firstLineChars="200"/>
              <w:rPr>
                <w:rFonts w:hint="eastAsia" w:ascii="仿宋_GB2312" w:hAnsi="仿宋_GB2312" w:eastAsia="仿宋_GB2312" w:cs="仿宋_GB2312"/>
                <w:bCs/>
                <w:color w:val="000000"/>
                <w:spacing w:val="6"/>
                <w:szCs w:val="28"/>
              </w:rPr>
            </w:pPr>
            <w:r>
              <w:rPr>
                <w:rFonts w:ascii="仿宋_GB2312" w:hAnsi="仿宋_GB2312" w:eastAsia="仿宋_GB2312" w:cs="仿宋_GB2312"/>
                <w:bCs/>
                <w:color w:val="000000"/>
                <w:spacing w:val="6"/>
                <w:szCs w:val="28"/>
              </w:rPr>
              <w:t xml:space="preserve">4. </w:t>
            </w:r>
            <w:r>
              <w:rPr>
                <w:rFonts w:hint="eastAsia" w:ascii="仿宋_GB2312" w:hAnsi="仿宋_GB2312" w:eastAsia="仿宋_GB2312" w:cs="仿宋_GB2312"/>
                <w:bCs/>
                <w:color w:val="000000"/>
                <w:spacing w:val="6"/>
                <w:szCs w:val="28"/>
              </w:rPr>
              <w:t>其他要求</w:t>
            </w:r>
          </w:p>
          <w:p w14:paraId="2B41FC40">
            <w:pPr>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方案需具备自主知识产权，不侵犯第三方权益</w:t>
            </w:r>
          </w:p>
          <w:p w14:paraId="74D8DB10">
            <w:pPr>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鼓励跨学科团队合作，优先考虑“产</w:t>
            </w:r>
            <w:r>
              <w:rPr>
                <w:rFonts w:ascii="仿宋_GB2312" w:hAnsi="仿宋_GB2312" w:eastAsia="仿宋_GB2312" w:cs="仿宋_GB2312"/>
                <w:bCs/>
                <w:color w:val="000000"/>
                <w:spacing w:val="6"/>
                <w:szCs w:val="28"/>
              </w:rPr>
              <w:t>-</w:t>
            </w:r>
            <w:r>
              <w:rPr>
                <w:rFonts w:hint="eastAsia" w:ascii="仿宋_GB2312" w:hAnsi="仿宋_GB2312" w:eastAsia="仿宋_GB2312" w:cs="仿宋_GB2312"/>
                <w:bCs/>
                <w:color w:val="000000"/>
                <w:spacing w:val="6"/>
                <w:szCs w:val="28"/>
              </w:rPr>
              <w:t>学</w:t>
            </w:r>
            <w:r>
              <w:rPr>
                <w:rFonts w:ascii="仿宋_GB2312" w:hAnsi="仿宋_GB2312" w:eastAsia="仿宋_GB2312" w:cs="仿宋_GB2312"/>
                <w:bCs/>
                <w:color w:val="000000"/>
                <w:spacing w:val="6"/>
                <w:szCs w:val="28"/>
              </w:rPr>
              <w:t>-</w:t>
            </w:r>
            <w:r>
              <w:rPr>
                <w:rFonts w:hint="eastAsia" w:ascii="仿宋_GB2312" w:hAnsi="仿宋_GB2312" w:eastAsia="仿宋_GB2312" w:cs="仿宋_GB2312"/>
                <w:bCs/>
                <w:color w:val="000000"/>
                <w:spacing w:val="6"/>
                <w:szCs w:val="28"/>
              </w:rPr>
              <w:t>研</w:t>
            </w:r>
            <w:r>
              <w:rPr>
                <w:rFonts w:ascii="仿宋_GB2312" w:hAnsi="仿宋_GB2312" w:eastAsia="仿宋_GB2312" w:cs="仿宋_GB2312"/>
                <w:bCs/>
                <w:color w:val="000000"/>
                <w:spacing w:val="6"/>
                <w:szCs w:val="28"/>
              </w:rPr>
              <w:t>-</w:t>
            </w:r>
            <w:r>
              <w:rPr>
                <w:rFonts w:hint="eastAsia" w:ascii="仿宋_GB2312" w:hAnsi="仿宋_GB2312" w:eastAsia="仿宋_GB2312" w:cs="仿宋_GB2312"/>
                <w:bCs/>
                <w:color w:val="000000"/>
                <w:spacing w:val="6"/>
                <w:szCs w:val="28"/>
              </w:rPr>
              <w:t>用”联合团队</w:t>
            </w:r>
          </w:p>
          <w:p w14:paraId="1AD91292">
            <w:pPr>
              <w:adjustRightInd w:val="0"/>
              <w:snapToGrid w:val="0"/>
              <w:ind w:firstLine="504" w:firstLineChars="200"/>
              <w:rPr>
                <w:rFonts w:hint="eastAsia" w:ascii="仿宋_GB2312" w:hAnsi="仿宋_GB2312" w:eastAsia="仿宋_GB2312" w:cs="仿宋_GB2312"/>
                <w:color w:val="000000"/>
              </w:rPr>
            </w:pPr>
            <w:r>
              <w:rPr>
                <w:rFonts w:hint="eastAsia" w:ascii="仿宋_GB2312" w:hAnsi="仿宋_GB2312" w:eastAsia="仿宋_GB2312" w:cs="仿宋_GB2312"/>
                <w:bCs/>
                <w:color w:val="000000"/>
                <w:spacing w:val="6"/>
                <w:szCs w:val="28"/>
              </w:rPr>
              <w:t>需提供详细的经济性分析及推广价值评估</w:t>
            </w:r>
          </w:p>
        </w:tc>
      </w:tr>
      <w:tr w14:paraId="3F9FB0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D46B60">
            <w:pPr>
              <w:overflowPunct w:val="0"/>
              <w:adjustRightInd w:val="0"/>
              <w:snapToGrid w:val="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作品评审</w:t>
            </w:r>
          </w:p>
          <w:p w14:paraId="2507A11A">
            <w:pPr>
              <w:overflowPunct w:val="0"/>
              <w:adjustRightInd w:val="0"/>
              <w:snapToGrid w:val="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DCCC12">
            <w:pPr>
              <w:overflowPunct w:val="0"/>
              <w:adjustRightInd w:val="0"/>
              <w:snapToGrid w:val="0"/>
              <w:ind w:firstLine="504" w:firstLineChars="200"/>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1</w:t>
            </w:r>
            <w:r>
              <w:rPr>
                <w:rFonts w:ascii="仿宋_GB2312" w:hAnsi="仿宋_GB2312" w:eastAsia="仿宋_GB2312" w:cs="仿宋_GB2312"/>
                <w:bCs/>
                <w:color w:val="000000"/>
                <w:spacing w:val="6"/>
                <w:szCs w:val="28"/>
                <w:lang w:val="en-US"/>
              </w:rPr>
              <w:t xml:space="preserve">. </w:t>
            </w:r>
            <w:r>
              <w:rPr>
                <w:rFonts w:hint="eastAsia" w:ascii="仿宋_GB2312" w:hAnsi="仿宋_GB2312" w:eastAsia="仿宋_GB2312" w:cs="仿宋_GB2312"/>
                <w:bCs/>
                <w:color w:val="000000"/>
                <w:spacing w:val="6"/>
                <w:szCs w:val="28"/>
                <w:lang w:val="en-US"/>
              </w:rPr>
              <w:t>技术创新性（</w:t>
            </w:r>
            <w:r>
              <w:rPr>
                <w:rFonts w:ascii="仿宋_GB2312" w:hAnsi="仿宋_GB2312" w:eastAsia="仿宋_GB2312" w:cs="仿宋_GB2312"/>
                <w:bCs/>
                <w:color w:val="000000"/>
                <w:spacing w:val="6"/>
                <w:szCs w:val="28"/>
                <w:lang w:val="en-US"/>
              </w:rPr>
              <w:t>30</w:t>
            </w:r>
            <w:r>
              <w:rPr>
                <w:rFonts w:hint="eastAsia" w:ascii="仿宋_GB2312" w:hAnsi="仿宋_GB2312" w:eastAsia="仿宋_GB2312" w:cs="仿宋_GB2312"/>
                <w:bCs/>
                <w:color w:val="000000"/>
                <w:spacing w:val="6"/>
                <w:szCs w:val="28"/>
                <w:lang w:val="en-US"/>
              </w:rPr>
              <w:t>分）</w:t>
            </w:r>
          </w:p>
          <w:p w14:paraId="358DA1C9">
            <w:pPr>
              <w:overflowPunct w:val="0"/>
              <w:adjustRightInd w:val="0"/>
              <w:snapToGrid w:val="0"/>
              <w:ind w:firstLine="504" w:firstLineChars="200"/>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技术路线的原创性与前瞻性</w:t>
            </w:r>
          </w:p>
          <w:p w14:paraId="1487F7A9">
            <w:pPr>
              <w:overflowPunct w:val="0"/>
              <w:adjustRightInd w:val="0"/>
              <w:snapToGrid w:val="0"/>
              <w:ind w:firstLine="504" w:firstLineChars="200"/>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与传统方法相比的显著优势</w:t>
            </w:r>
          </w:p>
          <w:p w14:paraId="650FC46A">
            <w:pPr>
              <w:overflowPunct w:val="0"/>
              <w:adjustRightInd w:val="0"/>
              <w:snapToGrid w:val="0"/>
              <w:ind w:firstLine="504" w:firstLineChars="200"/>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对现有技术瓶颈的突破程度</w:t>
            </w:r>
          </w:p>
          <w:p w14:paraId="76BA3C1F">
            <w:pPr>
              <w:overflowPunct w:val="0"/>
              <w:adjustRightInd w:val="0"/>
              <w:snapToGrid w:val="0"/>
              <w:ind w:firstLine="504" w:firstLineChars="200"/>
              <w:rPr>
                <w:rFonts w:hint="eastAsia" w:ascii="仿宋_GB2312" w:hAnsi="仿宋_GB2312" w:eastAsia="仿宋_GB2312" w:cs="仿宋_GB2312"/>
                <w:bCs/>
                <w:color w:val="000000"/>
                <w:spacing w:val="6"/>
                <w:szCs w:val="28"/>
                <w:lang w:val="en-US"/>
              </w:rPr>
            </w:pPr>
            <w:r>
              <w:rPr>
                <w:rFonts w:ascii="仿宋_GB2312" w:hAnsi="仿宋_GB2312" w:eastAsia="仿宋_GB2312" w:cs="仿宋_GB2312"/>
                <w:bCs/>
                <w:color w:val="000000"/>
                <w:spacing w:val="6"/>
                <w:szCs w:val="28"/>
                <w:lang w:val="en-US"/>
              </w:rPr>
              <w:t xml:space="preserve">2. </w:t>
            </w:r>
            <w:r>
              <w:rPr>
                <w:rFonts w:hint="eastAsia" w:ascii="仿宋_GB2312" w:hAnsi="仿宋_GB2312" w:eastAsia="仿宋_GB2312" w:cs="仿宋_GB2312"/>
                <w:bCs/>
                <w:color w:val="000000"/>
                <w:spacing w:val="6"/>
                <w:szCs w:val="28"/>
                <w:lang w:val="en-US"/>
              </w:rPr>
              <w:t>方案完整性（</w:t>
            </w:r>
            <w:r>
              <w:rPr>
                <w:rFonts w:ascii="仿宋_GB2312" w:hAnsi="仿宋_GB2312" w:eastAsia="仿宋_GB2312" w:cs="仿宋_GB2312"/>
                <w:bCs/>
                <w:color w:val="000000"/>
                <w:spacing w:val="6"/>
                <w:szCs w:val="28"/>
                <w:lang w:val="en-US"/>
              </w:rPr>
              <w:t>25</w:t>
            </w:r>
            <w:r>
              <w:rPr>
                <w:rFonts w:hint="eastAsia" w:ascii="仿宋_GB2312" w:hAnsi="仿宋_GB2312" w:eastAsia="仿宋_GB2312" w:cs="仿宋_GB2312"/>
                <w:bCs/>
                <w:color w:val="000000"/>
                <w:spacing w:val="6"/>
                <w:szCs w:val="28"/>
                <w:lang w:val="en-US"/>
              </w:rPr>
              <w:t>分）</w:t>
            </w:r>
          </w:p>
          <w:p w14:paraId="61A17B21">
            <w:pPr>
              <w:overflowPunct w:val="0"/>
              <w:adjustRightInd w:val="0"/>
              <w:snapToGrid w:val="0"/>
              <w:ind w:firstLine="504" w:firstLineChars="200"/>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系统架构的完整性与合理性</w:t>
            </w:r>
          </w:p>
          <w:p w14:paraId="3A9FDA34">
            <w:pPr>
              <w:overflowPunct w:val="0"/>
              <w:adjustRightInd w:val="0"/>
              <w:snapToGrid w:val="0"/>
              <w:ind w:firstLine="504" w:firstLineChars="200"/>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技术细节的完备程度</w:t>
            </w:r>
          </w:p>
          <w:p w14:paraId="33355874">
            <w:pPr>
              <w:overflowPunct w:val="0"/>
              <w:adjustRightInd w:val="0"/>
              <w:snapToGrid w:val="0"/>
              <w:ind w:firstLine="504" w:firstLineChars="200"/>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实施路径的清晰可行性</w:t>
            </w:r>
          </w:p>
          <w:p w14:paraId="2D0FA0CB">
            <w:pPr>
              <w:overflowPunct w:val="0"/>
              <w:adjustRightInd w:val="0"/>
              <w:snapToGrid w:val="0"/>
              <w:ind w:firstLine="504" w:firstLineChars="200"/>
              <w:rPr>
                <w:rFonts w:hint="eastAsia" w:ascii="仿宋_GB2312" w:hAnsi="仿宋_GB2312" w:eastAsia="仿宋_GB2312" w:cs="仿宋_GB2312"/>
                <w:bCs/>
                <w:color w:val="000000"/>
                <w:spacing w:val="6"/>
                <w:szCs w:val="28"/>
                <w:lang w:val="en-US"/>
              </w:rPr>
            </w:pPr>
            <w:r>
              <w:rPr>
                <w:rFonts w:ascii="仿宋_GB2312" w:hAnsi="仿宋_GB2312" w:eastAsia="仿宋_GB2312" w:cs="仿宋_GB2312"/>
                <w:bCs/>
                <w:color w:val="000000"/>
                <w:spacing w:val="6"/>
                <w:szCs w:val="28"/>
                <w:lang w:val="en-US"/>
              </w:rPr>
              <w:t xml:space="preserve">3. </w:t>
            </w:r>
            <w:r>
              <w:rPr>
                <w:rFonts w:hint="eastAsia" w:ascii="仿宋_GB2312" w:hAnsi="仿宋_GB2312" w:eastAsia="仿宋_GB2312" w:cs="仿宋_GB2312"/>
                <w:bCs/>
                <w:color w:val="000000"/>
                <w:spacing w:val="6"/>
                <w:szCs w:val="28"/>
                <w:lang w:val="en-US"/>
              </w:rPr>
              <w:t>应用实效性（</w:t>
            </w:r>
            <w:r>
              <w:rPr>
                <w:rFonts w:ascii="仿宋_GB2312" w:hAnsi="仿宋_GB2312" w:eastAsia="仿宋_GB2312" w:cs="仿宋_GB2312"/>
                <w:bCs/>
                <w:color w:val="000000"/>
                <w:spacing w:val="6"/>
                <w:szCs w:val="28"/>
                <w:lang w:val="en-US"/>
              </w:rPr>
              <w:t>25</w:t>
            </w:r>
            <w:r>
              <w:rPr>
                <w:rFonts w:hint="eastAsia" w:ascii="仿宋_GB2312" w:hAnsi="仿宋_GB2312" w:eastAsia="仿宋_GB2312" w:cs="仿宋_GB2312"/>
                <w:bCs/>
                <w:color w:val="000000"/>
                <w:spacing w:val="6"/>
                <w:szCs w:val="28"/>
                <w:lang w:val="en-US"/>
              </w:rPr>
              <w:t>分）</w:t>
            </w:r>
          </w:p>
          <w:p w14:paraId="4B98583F">
            <w:pPr>
              <w:overflowPunct w:val="0"/>
              <w:adjustRightInd w:val="0"/>
              <w:snapToGrid w:val="0"/>
              <w:ind w:firstLine="504" w:firstLineChars="200"/>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故障检测性能指标（速度、准确率、可靠性）</w:t>
            </w:r>
          </w:p>
          <w:p w14:paraId="3F706D1C">
            <w:pPr>
              <w:overflowPunct w:val="0"/>
              <w:adjustRightInd w:val="0"/>
              <w:snapToGrid w:val="0"/>
              <w:ind w:firstLine="504" w:firstLineChars="200"/>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对复杂场景的适应性</w:t>
            </w:r>
          </w:p>
          <w:p w14:paraId="1A88D87B">
            <w:pPr>
              <w:overflowPunct w:val="0"/>
              <w:adjustRightInd w:val="0"/>
              <w:snapToGrid w:val="0"/>
              <w:ind w:firstLine="504" w:firstLineChars="200"/>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工程实施的便利性</w:t>
            </w:r>
          </w:p>
          <w:p w14:paraId="1ABF3867">
            <w:pPr>
              <w:overflowPunct w:val="0"/>
              <w:adjustRightInd w:val="0"/>
              <w:snapToGrid w:val="0"/>
              <w:ind w:firstLine="504" w:firstLineChars="200"/>
              <w:rPr>
                <w:rFonts w:hint="eastAsia" w:ascii="仿宋_GB2312" w:hAnsi="仿宋_GB2312" w:eastAsia="仿宋_GB2312" w:cs="仿宋_GB2312"/>
                <w:bCs/>
                <w:color w:val="000000"/>
                <w:spacing w:val="6"/>
                <w:szCs w:val="28"/>
                <w:lang w:val="en-US"/>
              </w:rPr>
            </w:pPr>
            <w:r>
              <w:rPr>
                <w:rFonts w:ascii="仿宋_GB2312" w:hAnsi="仿宋_GB2312" w:eastAsia="仿宋_GB2312" w:cs="仿宋_GB2312"/>
                <w:bCs/>
                <w:color w:val="000000"/>
                <w:spacing w:val="6"/>
                <w:szCs w:val="28"/>
                <w:lang w:val="en-US"/>
              </w:rPr>
              <w:t xml:space="preserve">4. </w:t>
            </w:r>
            <w:r>
              <w:rPr>
                <w:rFonts w:hint="eastAsia" w:ascii="仿宋_GB2312" w:hAnsi="仿宋_GB2312" w:eastAsia="仿宋_GB2312" w:cs="仿宋_GB2312"/>
                <w:bCs/>
                <w:color w:val="000000"/>
                <w:spacing w:val="6"/>
                <w:szCs w:val="28"/>
                <w:lang w:val="en-US"/>
              </w:rPr>
              <w:t>经济社会效益（</w:t>
            </w:r>
            <w:r>
              <w:rPr>
                <w:rFonts w:ascii="仿宋_GB2312" w:hAnsi="仿宋_GB2312" w:eastAsia="仿宋_GB2312" w:cs="仿宋_GB2312"/>
                <w:bCs/>
                <w:color w:val="000000"/>
                <w:spacing w:val="6"/>
                <w:szCs w:val="28"/>
                <w:lang w:val="en-US"/>
              </w:rPr>
              <w:t>15</w:t>
            </w:r>
            <w:r>
              <w:rPr>
                <w:rFonts w:hint="eastAsia" w:ascii="仿宋_GB2312" w:hAnsi="仿宋_GB2312" w:eastAsia="仿宋_GB2312" w:cs="仿宋_GB2312"/>
                <w:bCs/>
                <w:color w:val="000000"/>
                <w:spacing w:val="6"/>
                <w:szCs w:val="28"/>
                <w:lang w:val="en-US"/>
              </w:rPr>
              <w:t>分）</w:t>
            </w:r>
          </w:p>
          <w:p w14:paraId="34E39066">
            <w:pPr>
              <w:overflowPunct w:val="0"/>
              <w:adjustRightInd w:val="0"/>
              <w:snapToGrid w:val="0"/>
              <w:ind w:firstLine="504" w:firstLineChars="200"/>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成本效益分析合理性</w:t>
            </w:r>
          </w:p>
          <w:p w14:paraId="18F6D24C">
            <w:pPr>
              <w:overflowPunct w:val="0"/>
              <w:adjustRightInd w:val="0"/>
              <w:snapToGrid w:val="0"/>
              <w:ind w:firstLine="504" w:firstLineChars="200"/>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推广应用的潜力与价值</w:t>
            </w:r>
          </w:p>
          <w:p w14:paraId="09EF398F">
            <w:pPr>
              <w:overflowPunct w:val="0"/>
              <w:adjustRightInd w:val="0"/>
              <w:snapToGrid w:val="0"/>
              <w:ind w:firstLine="504" w:firstLineChars="200"/>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对行业发展的促进作用</w:t>
            </w:r>
          </w:p>
          <w:p w14:paraId="7B2084EF">
            <w:pPr>
              <w:overflowPunct w:val="0"/>
              <w:adjustRightInd w:val="0"/>
              <w:snapToGrid w:val="0"/>
              <w:ind w:firstLine="504" w:firstLineChars="200"/>
              <w:rPr>
                <w:rFonts w:hint="eastAsia" w:ascii="仿宋_GB2312" w:hAnsi="仿宋_GB2312" w:eastAsia="仿宋_GB2312" w:cs="仿宋_GB2312"/>
                <w:bCs/>
                <w:color w:val="000000"/>
                <w:spacing w:val="6"/>
                <w:szCs w:val="28"/>
                <w:lang w:val="en-US"/>
              </w:rPr>
            </w:pPr>
            <w:r>
              <w:rPr>
                <w:rFonts w:ascii="仿宋_GB2312" w:hAnsi="仿宋_GB2312" w:eastAsia="仿宋_GB2312" w:cs="仿宋_GB2312"/>
                <w:bCs/>
                <w:color w:val="000000"/>
                <w:spacing w:val="6"/>
                <w:szCs w:val="28"/>
                <w:lang w:val="en-US"/>
              </w:rPr>
              <w:t xml:space="preserve">5. </w:t>
            </w:r>
            <w:r>
              <w:rPr>
                <w:rFonts w:hint="eastAsia" w:ascii="仿宋_GB2312" w:hAnsi="仿宋_GB2312" w:eastAsia="仿宋_GB2312" w:cs="仿宋_GB2312"/>
                <w:bCs/>
                <w:color w:val="000000"/>
                <w:spacing w:val="6"/>
                <w:szCs w:val="28"/>
                <w:lang w:val="en-US"/>
              </w:rPr>
              <w:t>现场表现（</w:t>
            </w:r>
            <w:r>
              <w:rPr>
                <w:rFonts w:ascii="仿宋_GB2312" w:hAnsi="仿宋_GB2312" w:eastAsia="仿宋_GB2312" w:cs="仿宋_GB2312"/>
                <w:bCs/>
                <w:color w:val="000000"/>
                <w:spacing w:val="6"/>
                <w:szCs w:val="28"/>
                <w:lang w:val="en-US"/>
              </w:rPr>
              <w:t>5</w:t>
            </w:r>
            <w:r>
              <w:rPr>
                <w:rFonts w:hint="eastAsia" w:ascii="仿宋_GB2312" w:hAnsi="仿宋_GB2312" w:eastAsia="仿宋_GB2312" w:cs="仿宋_GB2312"/>
                <w:bCs/>
                <w:color w:val="000000"/>
                <w:spacing w:val="6"/>
                <w:szCs w:val="28"/>
                <w:lang w:val="en-US"/>
              </w:rPr>
              <w:t>分）</w:t>
            </w:r>
          </w:p>
          <w:p w14:paraId="2998CA20">
            <w:pPr>
              <w:overflowPunct w:val="0"/>
              <w:adjustRightInd w:val="0"/>
              <w:snapToGrid w:val="0"/>
              <w:ind w:firstLine="504" w:firstLineChars="200"/>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答辩陈述的清晰度</w:t>
            </w:r>
          </w:p>
          <w:p w14:paraId="362D6ACE">
            <w:pPr>
              <w:overflowPunct w:val="0"/>
              <w:adjustRightInd w:val="0"/>
              <w:snapToGrid w:val="0"/>
              <w:ind w:firstLine="504" w:firstLineChars="200"/>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问题回答的准确性</w:t>
            </w:r>
          </w:p>
          <w:p w14:paraId="270019E9">
            <w:pPr>
              <w:overflowPunct w:val="0"/>
              <w:adjustRightInd w:val="0"/>
              <w:snapToGrid w:val="0"/>
              <w:ind w:firstLine="504" w:firstLineChars="200"/>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团队协作的专业性</w:t>
            </w:r>
          </w:p>
        </w:tc>
      </w:tr>
      <w:tr w14:paraId="6A3D7B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327958D1">
            <w:pPr>
              <w:overflowPunct w:val="0"/>
              <w:adjustRightInd w:val="0"/>
              <w:snapToGrid w:val="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0B72941">
            <w:pPr>
              <w:overflowPunct w:val="0"/>
              <w:adjustRightInd w:val="0"/>
              <w:snapToGrid w:val="0"/>
              <w:ind w:firstLine="480"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color w:val="000000"/>
              </w:rPr>
              <w:t>无。</w:t>
            </w:r>
          </w:p>
        </w:tc>
      </w:tr>
    </w:tbl>
    <w:p w14:paraId="674DF600">
      <w:pPr>
        <w:tabs>
          <w:tab w:val="left" w:pos="8640"/>
        </w:tabs>
        <w:adjustRightInd w:val="0"/>
        <w:snapToGrid w:val="0"/>
        <w:spacing w:line="440" w:lineRule="exact"/>
        <w:ind w:firstLine="332"/>
        <w:rPr>
          <w:rFonts w:ascii="方正黑体简体" w:eastAsia="方正黑体简体"/>
          <w:bCs/>
          <w:spacing w:val="6"/>
          <w:sz w:val="32"/>
          <w:szCs w:val="32"/>
        </w:rPr>
      </w:pPr>
      <w:r>
        <w:rPr>
          <w:rFonts w:hint="eastAsia" w:ascii="方正黑体简体" w:eastAsia="方正黑体简体"/>
          <w:bCs/>
          <w:spacing w:val="6"/>
          <w:sz w:val="32"/>
          <w:szCs w:val="32"/>
        </w:rPr>
        <w:t>三、激励保障</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44AF83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414"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EF79643">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lang w:val="en-US"/>
              </w:rPr>
              <w:t>保障</w:t>
            </w:r>
            <w:r>
              <w:rPr>
                <w:rFonts w:hint="eastAsia" w:ascii="楷体_GB2312" w:hAnsi="楷体_GB2312" w:eastAsia="楷体_GB2312" w:cs="楷体_GB2312"/>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1E76DCE">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1</w:t>
            </w:r>
            <w:r>
              <w:rPr>
                <w:rFonts w:ascii="仿宋_GB2312" w:hAnsi="仿宋_GB2312" w:eastAsia="仿宋_GB2312" w:cs="仿宋_GB2312"/>
                <w:bCs/>
                <w:color w:val="000000"/>
                <w:spacing w:val="6"/>
                <w:szCs w:val="28"/>
                <w:lang w:val="en-US"/>
              </w:rPr>
              <w:t xml:space="preserve">. </w:t>
            </w:r>
            <w:r>
              <w:rPr>
                <w:rFonts w:hint="eastAsia" w:ascii="仿宋_GB2312" w:hAnsi="仿宋_GB2312" w:eastAsia="仿宋_GB2312" w:cs="仿宋_GB2312"/>
                <w:bCs/>
                <w:color w:val="000000"/>
                <w:spacing w:val="6"/>
                <w:szCs w:val="28"/>
                <w:lang w:val="en-US"/>
              </w:rPr>
              <w:t>技术与咨询支持</w:t>
            </w:r>
          </w:p>
          <w:p w14:paraId="266C1E20">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组织电力系统、人工智能领域专家提供技术指导</w:t>
            </w:r>
          </w:p>
          <w:p w14:paraId="6D03E8EE">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定期举办技术交流会与答疑会</w:t>
            </w:r>
          </w:p>
          <w:p w14:paraId="45EDC693">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提供相关技术文献与标准规范汇编</w:t>
            </w:r>
          </w:p>
          <w:p w14:paraId="4DE7DCA7">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p>
          <w:p w14:paraId="5308D80C">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2</w:t>
            </w:r>
            <w:r>
              <w:rPr>
                <w:rFonts w:ascii="仿宋_GB2312" w:hAnsi="仿宋_GB2312" w:eastAsia="仿宋_GB2312" w:cs="仿宋_GB2312"/>
                <w:bCs/>
                <w:color w:val="000000"/>
                <w:spacing w:val="6"/>
                <w:szCs w:val="28"/>
                <w:lang w:val="en-US"/>
              </w:rPr>
              <w:t xml:space="preserve">. </w:t>
            </w:r>
            <w:r>
              <w:rPr>
                <w:rFonts w:hint="eastAsia" w:ascii="仿宋_GB2312" w:hAnsi="仿宋_GB2312" w:eastAsia="仿宋_GB2312" w:cs="仿宋_GB2312"/>
                <w:bCs/>
                <w:color w:val="000000"/>
                <w:spacing w:val="6"/>
                <w:szCs w:val="28"/>
                <w:lang w:val="en-US"/>
              </w:rPr>
              <w:t>经费与资源支持</w:t>
            </w:r>
          </w:p>
          <w:p w14:paraId="782D095D">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优秀方案可获得电网公司试点应用机会</w:t>
            </w:r>
          </w:p>
          <w:p w14:paraId="2C6DEC75">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p>
          <w:p w14:paraId="10150266">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3</w:t>
            </w:r>
            <w:r>
              <w:rPr>
                <w:rFonts w:ascii="仿宋_GB2312" w:hAnsi="仿宋_GB2312" w:eastAsia="仿宋_GB2312" w:cs="仿宋_GB2312"/>
                <w:bCs/>
                <w:color w:val="000000"/>
                <w:spacing w:val="6"/>
                <w:szCs w:val="28"/>
                <w:lang w:val="en-US"/>
              </w:rPr>
              <w:t xml:space="preserve">. </w:t>
            </w:r>
            <w:r>
              <w:rPr>
                <w:rFonts w:hint="eastAsia" w:ascii="仿宋_GB2312" w:hAnsi="仿宋_GB2312" w:eastAsia="仿宋_GB2312" w:cs="仿宋_GB2312"/>
                <w:bCs/>
                <w:color w:val="000000"/>
                <w:spacing w:val="6"/>
                <w:szCs w:val="28"/>
                <w:lang w:val="en-US"/>
              </w:rPr>
              <w:t>知识产权保护</w:t>
            </w:r>
          </w:p>
          <w:p w14:paraId="1109B7E2">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明确参赛团队的知识产权归属</w:t>
            </w:r>
          </w:p>
          <w:p w14:paraId="7AA2B7AF">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提供专利申请绿色通道</w:t>
            </w:r>
          </w:p>
          <w:p w14:paraId="3E023085">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设立技术转让与产业化对接平台</w:t>
            </w:r>
          </w:p>
          <w:p w14:paraId="750C44F7">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p>
          <w:p w14:paraId="72BEB216">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4</w:t>
            </w:r>
            <w:r>
              <w:rPr>
                <w:rFonts w:ascii="仿宋_GB2312" w:hAnsi="仿宋_GB2312" w:eastAsia="仿宋_GB2312" w:cs="仿宋_GB2312"/>
                <w:bCs/>
                <w:color w:val="000000"/>
                <w:spacing w:val="6"/>
                <w:szCs w:val="28"/>
                <w:lang w:val="en-US"/>
              </w:rPr>
              <w:t xml:space="preserve">. </w:t>
            </w:r>
            <w:r>
              <w:rPr>
                <w:rFonts w:hint="eastAsia" w:ascii="仿宋_GB2312" w:hAnsi="仿宋_GB2312" w:eastAsia="仿宋_GB2312" w:cs="仿宋_GB2312"/>
                <w:bCs/>
                <w:color w:val="000000"/>
                <w:spacing w:val="6"/>
                <w:szCs w:val="28"/>
                <w:lang w:val="en-US"/>
              </w:rPr>
              <w:t>长期合作机制</w:t>
            </w:r>
          </w:p>
          <w:p w14:paraId="18C2E7A9">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优胜团队可优先参与后续相关项目研发</w:t>
            </w:r>
          </w:p>
          <w:p w14:paraId="4E9F6537">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建立长期技术合作关系</w:t>
            </w:r>
          </w:p>
          <w:p w14:paraId="55368623">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提供电网领域市场渠道与推广支持</w:t>
            </w:r>
          </w:p>
          <w:p w14:paraId="766273F1">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p>
        </w:tc>
      </w:tr>
      <w:tr w14:paraId="016281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4621"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939D7D0">
            <w:pPr>
              <w:adjustRightInd w:val="0"/>
              <w:snapToGrid w:val="0"/>
              <w:spacing w:line="560" w:lineRule="exact"/>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23EDFF8">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一、奖项设置</w:t>
            </w:r>
          </w:p>
          <w:p w14:paraId="1BF26C10">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eastAsia="zh-CN"/>
              </w:rPr>
              <w:t>原则上设“擂主”团队1个，</w:t>
            </w:r>
            <w:r>
              <w:rPr>
                <w:rFonts w:hint="eastAsia" w:ascii="仿宋_GB2312" w:hAnsi="仿宋_GB2312" w:eastAsia="仿宋_GB2312" w:cs="仿宋_GB2312"/>
                <w:bCs/>
                <w:color w:val="000000"/>
                <w:spacing w:val="6"/>
                <w:szCs w:val="28"/>
                <w:lang w:val="en-US"/>
              </w:rPr>
              <w:t>根据实际情况评出相应的特等奖、一等奖、二等奖、三等奖项目若干。其中获得特等奖的团队中选择最优作品作为“擂主”团队，开展后期项目落地及创业实践。</w:t>
            </w:r>
          </w:p>
          <w:p w14:paraId="480F43BC">
            <w:pPr>
              <w:adjustRightInd w:val="0"/>
              <w:snapToGrid w:val="0"/>
              <w:ind w:firstLine="504" w:firstLineChars="200"/>
              <w:jc w:val="both"/>
              <w:rPr>
                <w:rFonts w:hint="eastAsia" w:ascii="仿宋_GB2312" w:hAnsi="仿宋_GB2312" w:eastAsia="仿宋_GB2312" w:cs="仿宋_GB2312"/>
                <w:bCs/>
                <w:color w:val="000000"/>
                <w:spacing w:val="6"/>
                <w:szCs w:val="28"/>
                <w:lang w:val="en-US"/>
              </w:rPr>
            </w:pPr>
            <w:r>
              <w:rPr>
                <w:rFonts w:hint="eastAsia" w:ascii="仿宋_GB2312" w:hAnsi="仿宋_GB2312" w:eastAsia="仿宋_GB2312" w:cs="仿宋_GB2312"/>
                <w:bCs/>
                <w:color w:val="000000"/>
                <w:spacing w:val="6"/>
                <w:szCs w:val="28"/>
                <w:lang w:val="en-US"/>
              </w:rPr>
              <w:t>为部分优秀获奖团队提供线下实习工作机会，并由本单位出具实习证明。</w:t>
            </w:r>
          </w:p>
        </w:tc>
      </w:tr>
    </w:tbl>
    <w:p w14:paraId="2BB1B607">
      <w:pPr>
        <w:tabs>
          <w:tab w:val="left" w:pos="8640"/>
        </w:tabs>
        <w:adjustRightInd w:val="0"/>
        <w:snapToGrid w:val="0"/>
        <w:spacing w:line="560" w:lineRule="exact"/>
        <w:ind w:firstLine="332"/>
        <w:rPr>
          <w:rFonts w:ascii="方正黑体简体" w:eastAsia="方正黑体简体"/>
          <w:bCs/>
          <w:spacing w:val="6"/>
          <w:sz w:val="32"/>
          <w:szCs w:val="32"/>
          <w:lang w:val="en-US"/>
        </w:rPr>
      </w:pPr>
      <w:r>
        <w:rPr>
          <w:rFonts w:hint="eastAsia" w:ascii="方正黑体简体" w:eastAsia="方正黑体简体"/>
          <w:bCs/>
          <w:spacing w:val="6"/>
          <w:sz w:val="32"/>
          <w:szCs w:val="32"/>
          <w:lang w:val="en-US"/>
        </w:rPr>
        <w:t>四、选题意义</w:t>
      </w:r>
    </w:p>
    <w:tbl>
      <w:tblPr>
        <w:tblStyle w:val="1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1769DA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163366C9">
            <w:pPr>
              <w:overflowPunct w:val="0"/>
              <w:adjustRightInd w:val="0"/>
              <w:snapToGrid w:val="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D9D4E7">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ascii="仿宋_GB2312" w:hAnsi="仿宋_GB2312" w:eastAsia="仿宋_GB2312" w:cs="仿宋_GB2312"/>
                <w:bCs/>
                <w:color w:val="000000"/>
                <w:spacing w:val="6"/>
                <w:szCs w:val="28"/>
              </w:rPr>
              <w:t xml:space="preserve">1. </w:t>
            </w:r>
            <w:r>
              <w:rPr>
                <w:rFonts w:hint="eastAsia" w:ascii="仿宋_GB2312" w:hAnsi="仿宋_GB2312" w:eastAsia="仿宋_GB2312" w:cs="仿宋_GB2312"/>
                <w:bCs/>
                <w:color w:val="000000"/>
                <w:spacing w:val="6"/>
                <w:szCs w:val="28"/>
              </w:rPr>
              <w:t>推动多技术融合创新</w:t>
            </w:r>
          </w:p>
          <w:p w14:paraId="62C99AC7">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促进人工智能、边缘计算、</w:t>
            </w:r>
            <w:r>
              <w:rPr>
                <w:rFonts w:ascii="仿宋_GB2312" w:hAnsi="仿宋_GB2312" w:eastAsia="仿宋_GB2312" w:cs="仿宋_GB2312"/>
                <w:bCs/>
                <w:color w:val="000000"/>
                <w:spacing w:val="6"/>
                <w:szCs w:val="28"/>
              </w:rPr>
              <w:t>5G</w:t>
            </w:r>
            <w:r>
              <w:rPr>
                <w:rFonts w:hint="eastAsia" w:ascii="仿宋_GB2312" w:hAnsi="仿宋_GB2312" w:eastAsia="仿宋_GB2312" w:cs="仿宋_GB2312"/>
                <w:bCs/>
                <w:color w:val="000000"/>
                <w:spacing w:val="6"/>
                <w:szCs w:val="28"/>
              </w:rPr>
              <w:t>通信与电力系统技术的深度融合，探索“</w:t>
            </w:r>
            <w:r>
              <w:rPr>
                <w:rFonts w:ascii="仿宋_GB2312" w:hAnsi="仿宋_GB2312" w:eastAsia="仿宋_GB2312" w:cs="仿宋_GB2312"/>
                <w:bCs/>
                <w:color w:val="000000"/>
                <w:spacing w:val="6"/>
                <w:szCs w:val="28"/>
              </w:rPr>
              <w:t>AI+</w:t>
            </w:r>
            <w:r>
              <w:rPr>
                <w:rFonts w:hint="eastAsia" w:ascii="仿宋_GB2312" w:hAnsi="仿宋_GB2312" w:eastAsia="仿宋_GB2312" w:cs="仿宋_GB2312"/>
                <w:bCs/>
                <w:color w:val="000000"/>
                <w:spacing w:val="6"/>
                <w:szCs w:val="28"/>
              </w:rPr>
              <w:t>电力”的新范式</w:t>
            </w:r>
          </w:p>
          <w:p w14:paraId="1C0510CD">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ascii="仿宋_GB2312" w:hAnsi="仿宋_GB2312" w:eastAsia="仿宋_GB2312" w:cs="仿宋_GB2312"/>
                <w:bCs/>
                <w:color w:val="000000"/>
                <w:spacing w:val="6"/>
                <w:szCs w:val="28"/>
              </w:rPr>
              <w:t xml:space="preserve">2. </w:t>
            </w:r>
            <w:r>
              <w:rPr>
                <w:rFonts w:hint="eastAsia" w:ascii="仿宋_GB2312" w:hAnsi="仿宋_GB2312" w:eastAsia="仿宋_GB2312" w:cs="仿宋_GB2312"/>
                <w:bCs/>
                <w:color w:val="000000"/>
                <w:spacing w:val="6"/>
                <w:szCs w:val="28"/>
              </w:rPr>
              <w:t>攻克关键技术瓶颈</w:t>
            </w:r>
          </w:p>
          <w:p w14:paraId="0962543B">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着力解决：</w:t>
            </w:r>
          </w:p>
          <w:p w14:paraId="44A30A3E">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强噪声环境下微弱故障特征的提取与识别</w:t>
            </w:r>
          </w:p>
          <w:p w14:paraId="731698A3">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有限量测条件下的故障精确定位</w:t>
            </w:r>
          </w:p>
          <w:p w14:paraId="76A2852B">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跨区域、跨电压等级故障的协同分析</w:t>
            </w:r>
          </w:p>
          <w:p w14:paraId="2E022AAD">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未知类型故障的自适应检测</w:t>
            </w:r>
          </w:p>
          <w:p w14:paraId="48E8B303">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ascii="仿宋_GB2312" w:hAnsi="仿宋_GB2312" w:eastAsia="仿宋_GB2312" w:cs="仿宋_GB2312"/>
                <w:bCs/>
                <w:color w:val="000000"/>
                <w:spacing w:val="6"/>
                <w:szCs w:val="28"/>
              </w:rPr>
              <w:t xml:space="preserve">3. </w:t>
            </w:r>
            <w:r>
              <w:rPr>
                <w:rFonts w:hint="eastAsia" w:ascii="仿宋_GB2312" w:hAnsi="仿宋_GB2312" w:eastAsia="仿宋_GB2312" w:cs="仿宋_GB2312"/>
                <w:bCs/>
                <w:color w:val="000000"/>
                <w:spacing w:val="6"/>
                <w:szCs w:val="28"/>
              </w:rPr>
              <w:t>建立技术标准体系</w:t>
            </w:r>
          </w:p>
          <w:p w14:paraId="2228677D">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有望形成智能化故障检测的技术规范、测试标准和应用指南，引领行业技术发展方向</w:t>
            </w:r>
          </w:p>
          <w:p w14:paraId="1FD11E35">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ascii="仿宋_GB2312" w:hAnsi="仿宋_GB2312" w:eastAsia="仿宋_GB2312" w:cs="仿宋_GB2312"/>
                <w:bCs/>
                <w:color w:val="000000"/>
                <w:spacing w:val="6"/>
                <w:szCs w:val="28"/>
              </w:rPr>
              <w:t xml:space="preserve">4. </w:t>
            </w:r>
            <w:r>
              <w:rPr>
                <w:rFonts w:hint="eastAsia" w:ascii="仿宋_GB2312" w:hAnsi="仿宋_GB2312" w:eastAsia="仿宋_GB2312" w:cs="仿宋_GB2312"/>
                <w:bCs/>
                <w:color w:val="000000"/>
                <w:spacing w:val="6"/>
                <w:szCs w:val="28"/>
              </w:rPr>
              <w:t>培养复合型人才</w:t>
            </w:r>
          </w:p>
          <w:p w14:paraId="5FC1FA98">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通过项目实践培养既懂电力系统又精通人工智能的复合型技术团队</w:t>
            </w:r>
          </w:p>
        </w:tc>
      </w:tr>
      <w:tr w14:paraId="0915D8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2FA5C3">
            <w:pPr>
              <w:overflowPunct w:val="0"/>
              <w:adjustRightInd w:val="0"/>
              <w:snapToGrid w:val="0"/>
              <w:jc w:val="center"/>
              <w:rPr>
                <w:rFonts w:hint="eastAsia" w:ascii="楷体_GB2312" w:hAnsi="楷体_GB2312" w:eastAsia="楷体_GB2312" w:cs="楷体_GB2312"/>
                <w:color w:val="000000"/>
                <w:sz w:val="28"/>
                <w:szCs w:val="28"/>
              </w:rPr>
            </w:pPr>
            <w:r>
              <w:rPr>
                <w:rFonts w:hint="eastAsia" w:ascii="楷体_GB2312" w:hAnsi="楷体_GB2312" w:eastAsia="楷体_GB2312" w:cs="楷体_GB2312"/>
                <w:color w:val="000000"/>
                <w:sz w:val="28"/>
                <w:szCs w:val="28"/>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E7E32C">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ascii="仿宋_GB2312" w:hAnsi="仿宋_GB2312" w:eastAsia="仿宋_GB2312" w:cs="仿宋_GB2312"/>
                <w:bCs/>
                <w:color w:val="000000"/>
                <w:spacing w:val="6"/>
                <w:szCs w:val="28"/>
              </w:rPr>
              <w:t xml:space="preserve">1. </w:t>
            </w:r>
            <w:r>
              <w:rPr>
                <w:rFonts w:hint="eastAsia" w:ascii="仿宋_GB2312" w:hAnsi="仿宋_GB2312" w:eastAsia="仿宋_GB2312" w:cs="仿宋_GB2312"/>
                <w:bCs/>
                <w:color w:val="000000"/>
                <w:spacing w:val="6"/>
                <w:szCs w:val="28"/>
              </w:rPr>
              <w:t>经济效益</w:t>
            </w:r>
          </w:p>
          <w:p w14:paraId="7102D869">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直接效益：预计可降低故障停电时间</w:t>
            </w:r>
            <w:r>
              <w:rPr>
                <w:rFonts w:ascii="仿宋_GB2312" w:hAnsi="仿宋_GB2312" w:eastAsia="仿宋_GB2312" w:cs="仿宋_GB2312"/>
                <w:bCs/>
                <w:color w:val="000000"/>
                <w:spacing w:val="6"/>
                <w:szCs w:val="28"/>
              </w:rPr>
              <w:t>20%-30%</w:t>
            </w:r>
            <w:r>
              <w:rPr>
                <w:rFonts w:hint="eastAsia" w:ascii="仿宋_GB2312" w:hAnsi="仿宋_GB2312" w:eastAsia="仿宋_GB2312" w:cs="仿宋_GB2312"/>
                <w:bCs/>
                <w:color w:val="000000"/>
                <w:spacing w:val="6"/>
                <w:szCs w:val="28"/>
              </w:rPr>
              <w:t>，每年减少经济损失数十亿元</w:t>
            </w:r>
          </w:p>
          <w:p w14:paraId="35318B90">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投资节约：减少冗余监测设备投资，提高现有设备利用率</w:t>
            </w:r>
          </w:p>
          <w:p w14:paraId="1DEF740B">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运维优化：降低人工巡检成本，提升运维效率</w:t>
            </w:r>
            <w:r>
              <w:rPr>
                <w:rFonts w:ascii="仿宋_GB2312" w:hAnsi="仿宋_GB2312" w:eastAsia="仿宋_GB2312" w:cs="仿宋_GB2312"/>
                <w:bCs/>
                <w:color w:val="000000"/>
                <w:spacing w:val="6"/>
                <w:szCs w:val="28"/>
              </w:rPr>
              <w:t>30%</w:t>
            </w:r>
            <w:r>
              <w:rPr>
                <w:rFonts w:hint="eastAsia" w:ascii="仿宋_GB2312" w:hAnsi="仿宋_GB2312" w:eastAsia="仿宋_GB2312" w:cs="仿宋_GB2312"/>
                <w:bCs/>
                <w:color w:val="000000"/>
                <w:spacing w:val="6"/>
                <w:szCs w:val="28"/>
              </w:rPr>
              <w:t>以上</w:t>
            </w:r>
          </w:p>
          <w:p w14:paraId="67C6AA64">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产业带动：带动智能传感、数据分析、系统集成等相关产业发展</w:t>
            </w:r>
          </w:p>
          <w:p w14:paraId="4B83B876">
            <w:pPr>
              <w:overflowPunct w:val="0"/>
              <w:adjustRightInd w:val="0"/>
              <w:snapToGrid w:val="0"/>
              <w:ind w:firstLine="504" w:firstLineChars="200"/>
              <w:rPr>
                <w:rFonts w:hint="eastAsia" w:ascii="仿宋_GB2312" w:hAnsi="仿宋_GB2312" w:eastAsia="仿宋_GB2312" w:cs="仿宋_GB2312"/>
                <w:bCs/>
                <w:color w:val="000000"/>
                <w:spacing w:val="6"/>
                <w:szCs w:val="28"/>
              </w:rPr>
            </w:pPr>
          </w:p>
          <w:p w14:paraId="1748638E">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ascii="仿宋_GB2312" w:hAnsi="仿宋_GB2312" w:eastAsia="仿宋_GB2312" w:cs="仿宋_GB2312"/>
                <w:bCs/>
                <w:color w:val="000000"/>
                <w:spacing w:val="6"/>
                <w:szCs w:val="28"/>
              </w:rPr>
              <w:t xml:space="preserve">2. </w:t>
            </w:r>
            <w:r>
              <w:rPr>
                <w:rFonts w:hint="eastAsia" w:ascii="仿宋_GB2312" w:hAnsi="仿宋_GB2312" w:eastAsia="仿宋_GB2312" w:cs="仿宋_GB2312"/>
                <w:bCs/>
                <w:color w:val="000000"/>
                <w:spacing w:val="6"/>
                <w:szCs w:val="28"/>
              </w:rPr>
              <w:t>社会效益</w:t>
            </w:r>
          </w:p>
          <w:p w14:paraId="4F200C83">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供电可靠性提升：显著改善民生用电质量和体验</w:t>
            </w:r>
          </w:p>
          <w:p w14:paraId="04A76ED8">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新能源消纳促进：提升电网对高比例新能源的接纳能力</w:t>
            </w:r>
          </w:p>
          <w:p w14:paraId="01965705">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应急响应增强：提高极端天气和突发事件下的电网韧性</w:t>
            </w:r>
          </w:p>
          <w:p w14:paraId="148BA256">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双碳目标支撑：为构建清洁低碳、安全高效的能源体系提供技术保障</w:t>
            </w:r>
          </w:p>
          <w:p w14:paraId="7AFCC9CB">
            <w:pPr>
              <w:overflowPunct w:val="0"/>
              <w:adjustRightInd w:val="0"/>
              <w:snapToGrid w:val="0"/>
              <w:ind w:firstLine="504" w:firstLineChars="200"/>
              <w:rPr>
                <w:rFonts w:hint="eastAsia" w:ascii="仿宋_GB2312" w:hAnsi="仿宋_GB2312" w:eastAsia="仿宋_GB2312" w:cs="仿宋_GB2312"/>
                <w:bCs/>
                <w:color w:val="000000"/>
                <w:spacing w:val="6"/>
                <w:szCs w:val="28"/>
              </w:rPr>
            </w:pPr>
            <w:r>
              <w:rPr>
                <w:rFonts w:hint="eastAsia" w:ascii="仿宋_GB2312" w:hAnsi="仿宋_GB2312" w:eastAsia="仿宋_GB2312" w:cs="仿宋_GB2312"/>
                <w:bCs/>
                <w:color w:val="000000"/>
                <w:spacing w:val="6"/>
                <w:szCs w:val="28"/>
              </w:rPr>
              <w:t>国际竞争力提升：形成具有自主知识产权的核心技术，助力中国电力技术“走出去”</w:t>
            </w:r>
          </w:p>
        </w:tc>
      </w:tr>
    </w:tbl>
    <w:p w14:paraId="62952C5C">
      <w:pPr>
        <w:rPr>
          <w:rFonts w:hint="eastAsia" w:ascii="楷体_GB2312" w:hAnsi="楷体_GB2312" w:eastAsia="楷体_GB2312" w:cs="楷体_GB2312"/>
        </w:rPr>
      </w:pPr>
      <w:r>
        <w:rPr>
          <w:rFonts w:hint="eastAsia" w:ascii="楷体_GB2312" w:hAnsi="楷体_GB2312" w:eastAsia="楷体_GB2312" w:cs="楷体_GB2312"/>
        </w:rPr>
        <w:br w:type="page"/>
      </w:r>
    </w:p>
    <w:p w14:paraId="654FC142">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kern w:val="2"/>
          <w:sz w:val="44"/>
          <w:szCs w:val="32"/>
          <w:highlight w:val="none"/>
          <w:lang w:val="en-US" w:eastAsia="zh-CN"/>
        </w:rPr>
      </w:pPr>
      <w:r>
        <w:rPr>
          <w:rFonts w:hint="eastAsia" w:ascii="Times New Roman" w:hAnsi="Times New Roman" w:eastAsia="方正小标宋简体" w:cs="方正小标宋简体"/>
          <w:b w:val="0"/>
          <w:bCs/>
          <w:kern w:val="2"/>
          <w:sz w:val="44"/>
          <w:szCs w:val="32"/>
          <w:highlight w:val="none"/>
          <w:lang w:val="en-US" w:eastAsia="zh-CN"/>
        </w:rPr>
        <w:t>“青智未来”新质生产力</w:t>
      </w:r>
      <w:r>
        <w:rPr>
          <w:rFonts w:hint="default" w:ascii="Times New Roman" w:hAnsi="Times New Roman" w:eastAsia="方正小标宋简体" w:cs="Times New Roman"/>
          <w:b w:val="0"/>
          <w:bCs/>
          <w:kern w:val="2"/>
          <w:sz w:val="44"/>
          <w:szCs w:val="32"/>
          <w:highlight w:val="none"/>
          <w:lang w:val="en-US" w:eastAsia="zh-CN"/>
        </w:rPr>
        <w:t>专项赛</w:t>
      </w:r>
    </w:p>
    <w:p w14:paraId="43D7CF10">
      <w:pPr>
        <w:keepNext w:val="0"/>
        <w:keepLines w:val="0"/>
        <w:pageBreakBefore w:val="0"/>
        <w:widowControl w:val="0"/>
        <w:tabs>
          <w:tab w:val="left" w:pos="8640"/>
        </w:tabs>
        <w:kinsoku/>
        <w:wordWrap w:val="0"/>
        <w:topLinePunct w:val="0"/>
        <w:autoSpaceDE/>
        <w:autoSpaceDN/>
        <w:bidi w:val="0"/>
        <w:adjustRightInd w:val="0"/>
        <w:snapToGrid w:val="0"/>
        <w:spacing w:line="560" w:lineRule="exact"/>
        <w:jc w:val="center"/>
        <w:rPr>
          <w:rFonts w:hint="default" w:ascii="Times New Roman" w:hAnsi="Times New Roman" w:eastAsia="方正小标宋简体" w:cs="Times New Roman"/>
          <w:b w:val="0"/>
          <w:bCs/>
          <w:kern w:val="2"/>
          <w:sz w:val="44"/>
          <w:szCs w:val="32"/>
          <w:highlight w:val="none"/>
          <w:lang w:val="en-US" w:eastAsia="zh-CN"/>
        </w:rPr>
      </w:pPr>
      <w:r>
        <w:rPr>
          <w:rFonts w:hint="default" w:ascii="Times New Roman" w:hAnsi="Times New Roman" w:eastAsia="方正小标宋简体" w:cs="Times New Roman"/>
          <w:b w:val="0"/>
          <w:bCs/>
          <w:kern w:val="2"/>
          <w:sz w:val="44"/>
          <w:szCs w:val="32"/>
          <w:highlight w:val="none"/>
          <w:lang w:val="en-US" w:eastAsia="zh-CN"/>
        </w:rPr>
        <w:t>项目需求榜单</w:t>
      </w:r>
      <w:r>
        <w:rPr>
          <w:rFonts w:hint="eastAsia" w:ascii="Times New Roman" w:hAnsi="Times New Roman" w:eastAsia="方正小标宋简体" w:cs="方正小标宋简体"/>
          <w:b w:val="0"/>
          <w:bCs/>
          <w:kern w:val="2"/>
          <w:sz w:val="44"/>
          <w:szCs w:val="32"/>
          <w:highlight w:val="none"/>
          <w:lang w:val="en-US" w:eastAsia="zh-CN"/>
        </w:rPr>
        <w:t>—2</w:t>
      </w:r>
      <w:r>
        <w:rPr>
          <w:rFonts w:hint="eastAsia" w:eastAsia="方正小标宋简体" w:cs="方正小标宋简体"/>
          <w:b w:val="0"/>
          <w:bCs/>
          <w:kern w:val="2"/>
          <w:sz w:val="44"/>
          <w:szCs w:val="32"/>
          <w:highlight w:val="none"/>
          <w:lang w:val="en-US" w:eastAsia="zh-CN"/>
        </w:rPr>
        <w:t>2</w:t>
      </w:r>
    </w:p>
    <w:p w14:paraId="5D748C18">
      <w:pPr>
        <w:keepNext w:val="0"/>
        <w:keepLines w:val="0"/>
        <w:pageBreakBefore w:val="0"/>
        <w:widowControl w:val="0"/>
        <w:tabs>
          <w:tab w:val="left" w:pos="8640"/>
        </w:tabs>
        <w:kinsoku/>
        <w:wordWrap w:val="0"/>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b w:val="0"/>
          <w:bCs/>
          <w:kern w:val="2"/>
          <w:sz w:val="32"/>
          <w:szCs w:val="22"/>
          <w:highlight w:val="none"/>
          <w:lang w:val="en-US" w:eastAsia="zh-CN"/>
        </w:rPr>
      </w:pPr>
    </w:p>
    <w:p w14:paraId="1823D1A7">
      <w:pPr>
        <w:tabs>
          <w:tab w:val="left" w:pos="8640"/>
        </w:tabs>
        <w:adjustRightInd w:val="0"/>
        <w:snapToGrid w:val="0"/>
        <w:spacing w:line="560" w:lineRule="exact"/>
        <w:rPr>
          <w:rFonts w:ascii="方正楷体简体" w:hAnsi="方正楷体简体" w:eastAsia="方正楷体简体" w:cs="方正楷体简体"/>
          <w:bCs/>
          <w:color w:val="auto"/>
          <w:spacing w:val="6"/>
        </w:rPr>
      </w:pPr>
      <w:r>
        <w:rPr>
          <w:rFonts w:hint="eastAsia" w:ascii="方正黑体简体" w:eastAsia="方正黑体简体"/>
          <w:bCs/>
          <w:color w:val="auto"/>
          <w:spacing w:val="6"/>
          <w:sz w:val="32"/>
          <w:szCs w:val="32"/>
        </w:rPr>
        <w:t>一、单位信息</w:t>
      </w:r>
    </w:p>
    <w:tbl>
      <w:tblPr>
        <w:tblStyle w:val="11"/>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3076"/>
        <w:gridCol w:w="1073"/>
        <w:gridCol w:w="2783"/>
      </w:tblGrid>
      <w:tr w14:paraId="35973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7743D7D9">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单位名称</w:t>
            </w:r>
          </w:p>
        </w:tc>
        <w:tc>
          <w:tcPr>
            <w:tcW w:w="6932" w:type="dxa"/>
            <w:gridSpan w:val="3"/>
            <w:vAlign w:val="center"/>
          </w:tcPr>
          <w:p w14:paraId="54669D21">
            <w:pPr>
              <w:adjustRightInd w:val="0"/>
              <w:snapToGrid w:val="0"/>
              <w:jc w:val="center"/>
              <w:rPr>
                <w:rFonts w:hint="eastAsia" w:ascii="仿宋_GB2312" w:hAnsi="仿宋_GB2312" w:eastAsia="仿宋_GB2312" w:cs="仿宋_GB2312"/>
                <w:color w:val="auto"/>
              </w:rPr>
            </w:pPr>
            <w:r>
              <w:rPr>
                <w:rFonts w:hint="eastAsia" w:ascii="仿宋_GB2312" w:hAnsi="仿宋_GB2312" w:eastAsia="仿宋_GB2312" w:cs="仿宋_GB2312"/>
                <w:bCs/>
                <w:color w:val="auto"/>
                <w:spacing w:val="6"/>
                <w:szCs w:val="28"/>
                <w:lang w:val="en-US" w:eastAsia="zh-CN"/>
              </w:rPr>
              <w:t>中国共产主义青年团北京市平谷区委员会、钨丝邦（北京）科技服务有限公司</w:t>
            </w:r>
          </w:p>
        </w:tc>
      </w:tr>
      <w:tr w14:paraId="14BF9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68" w:type="dxa"/>
            <w:vAlign w:val="center"/>
          </w:tcPr>
          <w:p w14:paraId="710DA9C2">
            <w:pPr>
              <w:adjustRightInd w:val="0"/>
              <w:snapToGrid w:val="0"/>
              <w:jc w:val="center"/>
              <w:rPr>
                <w:rFonts w:hint="eastAsia" w:ascii="楷体_GB2312" w:hAnsi="楷体_GB2312" w:eastAsia="楷体_GB2312" w:cs="楷体_GB2312"/>
                <w:bCs/>
                <w:color w:val="auto"/>
                <w:spacing w:val="6"/>
                <w:szCs w:val="28"/>
                <w:lang w:val="en-US"/>
              </w:rPr>
            </w:pPr>
            <w:r>
              <w:rPr>
                <w:rFonts w:hint="eastAsia" w:ascii="楷体_GB2312" w:hAnsi="楷体_GB2312" w:eastAsia="楷体_GB2312" w:cs="楷体_GB2312"/>
                <w:color w:val="auto"/>
                <w:sz w:val="28"/>
                <w:szCs w:val="32"/>
                <w:lang w:val="en-US"/>
              </w:rPr>
              <w:t>单位类型</w:t>
            </w:r>
          </w:p>
        </w:tc>
        <w:tc>
          <w:tcPr>
            <w:tcW w:w="6932" w:type="dxa"/>
            <w:gridSpan w:val="3"/>
            <w:vAlign w:val="center"/>
          </w:tcPr>
          <w:p w14:paraId="37ADC5CF">
            <w:pPr>
              <w:adjustRightInd w:val="0"/>
              <w:snapToGrid w:val="0"/>
              <w:jc w:val="center"/>
              <w:rPr>
                <w:rFonts w:hint="eastAsia" w:ascii="仿宋_GB2312" w:hAnsi="仿宋_GB2312" w:eastAsia="仿宋_GB2312" w:cs="仿宋_GB2312"/>
                <w:bCs/>
                <w:color w:val="auto"/>
                <w:spacing w:val="6"/>
                <w:szCs w:val="28"/>
                <w:lang w:val="en-US"/>
              </w:rPr>
            </w:pPr>
            <w:r>
              <w:rPr>
                <w:rFonts w:hint="eastAsia" w:ascii="仿宋_GB2312" w:hAnsi="仿宋_GB2312" w:eastAsia="仿宋_GB2312" w:cs="仿宋_GB2312"/>
                <w:bCs/>
                <w:color w:val="auto"/>
                <w:spacing w:val="6"/>
                <w:szCs w:val="28"/>
                <w:lang w:val="en-US" w:eastAsia="zh-CN"/>
              </w:rPr>
              <w:t>青年团北京市平谷区委员会、</w:t>
            </w:r>
            <w:r>
              <w:rPr>
                <w:rFonts w:hint="eastAsia" w:ascii="仿宋_GB2312" w:hAnsi="仿宋_GB2312" w:eastAsia="仿宋_GB2312" w:cs="仿宋_GB2312"/>
                <w:bCs/>
                <w:color w:val="auto"/>
                <w:spacing w:val="6"/>
                <w:szCs w:val="28"/>
                <w:lang w:val="en-US"/>
              </w:rPr>
              <w:t>私营企业</w:t>
            </w:r>
          </w:p>
        </w:tc>
      </w:tr>
      <w:tr w14:paraId="5DC79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68" w:type="dxa"/>
            <w:vAlign w:val="center"/>
          </w:tcPr>
          <w:p w14:paraId="461E0357">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地址</w:t>
            </w:r>
          </w:p>
        </w:tc>
        <w:tc>
          <w:tcPr>
            <w:tcW w:w="6932" w:type="dxa"/>
            <w:gridSpan w:val="3"/>
            <w:vAlign w:val="center"/>
          </w:tcPr>
          <w:p w14:paraId="63ADFFAD">
            <w:pPr>
              <w:adjustRightInd w:val="0"/>
              <w:jc w:val="center"/>
              <w:rPr>
                <w:rFonts w:hint="eastAsia" w:ascii="仿宋_GB2312" w:hAnsi="仿宋_GB2312" w:eastAsia="仿宋_GB2312" w:cs="仿宋_GB2312"/>
                <w:color w:val="auto"/>
              </w:rPr>
            </w:pPr>
            <w:r>
              <w:rPr>
                <w:rFonts w:hint="eastAsia" w:ascii="仿宋_GB2312" w:hAnsi="仿宋_GB2312" w:eastAsia="仿宋_GB2312" w:cs="仿宋_GB2312"/>
                <w:color w:val="auto"/>
              </w:rPr>
              <w:t>北京市平谷区新平北路77号8号楼</w:t>
            </w:r>
          </w:p>
        </w:tc>
      </w:tr>
      <w:tr w14:paraId="61B44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668" w:type="dxa"/>
            <w:vAlign w:val="center"/>
          </w:tcPr>
          <w:p w14:paraId="64DB74D8">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lang w:val="en-US"/>
              </w:rPr>
              <w:t>单位</w:t>
            </w:r>
            <w:r>
              <w:rPr>
                <w:rFonts w:hint="eastAsia" w:ascii="楷体_GB2312" w:hAnsi="楷体_GB2312" w:eastAsia="楷体_GB2312" w:cs="楷体_GB2312"/>
                <w:color w:val="auto"/>
                <w:sz w:val="28"/>
                <w:szCs w:val="32"/>
              </w:rPr>
              <w:t>简介</w:t>
            </w:r>
          </w:p>
        </w:tc>
        <w:tc>
          <w:tcPr>
            <w:tcW w:w="6932" w:type="dxa"/>
            <w:gridSpan w:val="3"/>
            <w:vAlign w:val="center"/>
          </w:tcPr>
          <w:p w14:paraId="12D53634">
            <w:pPr>
              <w:adjustRightInd w:val="0"/>
              <w:snapToGrid w:val="0"/>
              <w:ind w:firstLine="504" w:firstLineChars="200"/>
              <w:jc w:val="both"/>
              <w:rPr>
                <w:rFonts w:hint="eastAsia"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rPr>
              <w:t>钨丝邦</w:t>
            </w:r>
            <w:r>
              <w:rPr>
                <w:rFonts w:hint="eastAsia" w:ascii="仿宋_GB2312" w:hAnsi="仿宋_GB2312" w:eastAsia="仿宋_GB2312" w:cs="仿宋_GB2312"/>
                <w:bCs/>
                <w:color w:val="auto"/>
                <w:spacing w:val="6"/>
                <w:szCs w:val="28"/>
                <w:lang w:eastAsia="zh-CN"/>
              </w:rPr>
              <w:t>，</w:t>
            </w:r>
            <w:r>
              <w:rPr>
                <w:rFonts w:hint="eastAsia" w:ascii="仿宋_GB2312" w:hAnsi="仿宋_GB2312" w:eastAsia="仿宋_GB2312" w:cs="仿宋_GB2312"/>
                <w:bCs/>
                <w:color w:val="auto"/>
                <w:spacing w:val="6"/>
                <w:szCs w:val="28"/>
              </w:rPr>
              <w:t>这个昔日闲置的大发冷库，如今已经焕然一新，成为了一个充满创意与活力的创新平台。总占地面积7000余平米，可同时容纳50家公司，100个初创团队，服务500+创业者，为三农、科技、文创、中小型高新技术、初创等企业提供一站式服务平台。致力于成为一家为区经济发展培育新动能、新主体的创新创业服务平台。挖掘区内外、重点紧盯区外高成长创新型企业，吸引其入孵（入驻），并提供全生命周期的高质量服务，助力企业做大做强、在平谷落地生根。</w:t>
            </w:r>
            <w:r>
              <w:rPr>
                <w:rFonts w:hint="eastAsia" w:ascii="仿宋_GB2312" w:hAnsi="仿宋_GB2312" w:eastAsia="仿宋_GB2312" w:cs="仿宋_GB2312"/>
                <w:bCs/>
                <w:color w:val="auto"/>
                <w:spacing w:val="6"/>
                <w:szCs w:val="28"/>
                <w:lang w:val="en-US" w:eastAsia="zh-CN"/>
              </w:rPr>
              <w:t>目前园区先后荣获北京市文化产业园区、北京市科技孵化器、北京城市更新示范项目、首都文明单位、北京市残疾人就业创业孵化基地、北京地区高校毕业生职场体验基地等多项荣誉。</w:t>
            </w:r>
          </w:p>
          <w:p w14:paraId="3D0225F4">
            <w:pPr>
              <w:adjustRightInd w:val="0"/>
              <w:snapToGrid w:val="0"/>
              <w:ind w:firstLine="504" w:firstLineChars="200"/>
              <w:jc w:val="both"/>
              <w:rPr>
                <w:rFonts w:hint="eastAsia" w:ascii="仿宋_GB2312" w:hAnsi="仿宋_GB2312" w:eastAsia="仿宋_GB2312" w:cs="仿宋_GB2312"/>
                <w:bCs/>
                <w:color w:val="auto"/>
                <w:spacing w:val="6"/>
                <w:szCs w:val="28"/>
              </w:rPr>
            </w:pPr>
            <w:r>
              <w:rPr>
                <w:rFonts w:hint="eastAsia" w:ascii="仿宋_GB2312" w:hAnsi="仿宋_GB2312" w:eastAsia="仿宋_GB2312" w:cs="仿宋_GB2312"/>
                <w:bCs/>
                <w:color w:val="auto"/>
                <w:spacing w:val="6"/>
                <w:szCs w:val="28"/>
                <w:lang w:val="en-US" w:eastAsia="zh-CN"/>
              </w:rPr>
              <w:t>2025年4月29日，由平谷区委组织部、区委宣传部、区委统战部指导，共青团北京市平谷区委员会主导的“青年飞谷计划”正式启动。2025年钨丝邦正式成为青年</w:t>
            </w:r>
            <w:r>
              <w:rPr>
                <w:rFonts w:hint="eastAsia" w:ascii="仿宋_GB2312" w:hAnsi="仿宋_GB2312" w:eastAsia="仿宋_GB2312" w:cs="仿宋_GB2312"/>
                <w:bCs/>
                <w:color w:val="auto"/>
                <w:spacing w:val="6"/>
                <w:szCs w:val="28"/>
                <w:highlight w:val="none"/>
                <w:lang w:val="en-US" w:eastAsia="zh-CN"/>
              </w:rPr>
              <w:t>飞谷</w:t>
            </w:r>
            <w:r>
              <w:rPr>
                <w:rFonts w:hint="eastAsia" w:ascii="仿宋_GB2312" w:hAnsi="仿宋_GB2312" w:eastAsia="仿宋_GB2312" w:cs="仿宋_GB2312"/>
                <w:bCs/>
                <w:color w:val="auto"/>
                <w:spacing w:val="6"/>
                <w:szCs w:val="28"/>
                <w:lang w:val="en-US" w:eastAsia="zh-CN"/>
              </w:rPr>
              <w:t>·见习基地，面向平谷籍于区外求学深造、就业发展的青年群体和有志于前来平谷区投资创业、开启生活的新平谷建设力量。</w:t>
            </w:r>
          </w:p>
        </w:tc>
      </w:tr>
      <w:tr w14:paraId="06D73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68" w:type="dxa"/>
            <w:vAlign w:val="center"/>
          </w:tcPr>
          <w:p w14:paraId="2CF0CCFD">
            <w:pPr>
              <w:adjustRightInd w:val="0"/>
              <w:snapToGrid w:val="0"/>
              <w:ind w:firstLine="280" w:firstLineChars="100"/>
              <w:jc w:val="both"/>
              <w:rPr>
                <w:rFonts w:hint="eastAsia" w:ascii="楷体_GB2312" w:hAnsi="楷体_GB2312" w:eastAsia="楷体_GB2312" w:cs="楷体_GB2312"/>
                <w:bCs/>
                <w:color w:val="auto"/>
                <w:spacing w:val="6"/>
                <w:szCs w:val="28"/>
              </w:rPr>
            </w:pPr>
            <w:r>
              <w:rPr>
                <w:rFonts w:hint="eastAsia" w:ascii="楷体_GB2312" w:hAnsi="楷体_GB2312" w:eastAsia="楷体_GB2312" w:cs="楷体_GB2312"/>
                <w:color w:val="auto"/>
                <w:sz w:val="28"/>
                <w:szCs w:val="32"/>
                <w:lang w:val="en-US"/>
              </w:rPr>
              <w:t>联系人</w:t>
            </w:r>
          </w:p>
        </w:tc>
        <w:tc>
          <w:tcPr>
            <w:tcW w:w="3076" w:type="dxa"/>
            <w:vAlign w:val="center"/>
          </w:tcPr>
          <w:p w14:paraId="71E05A45">
            <w:pPr>
              <w:adjustRightInd w:val="0"/>
              <w:snapToGrid w:val="0"/>
              <w:jc w:val="center"/>
              <w:rPr>
                <w:rFonts w:hint="default"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张立兴</w:t>
            </w:r>
          </w:p>
        </w:tc>
        <w:tc>
          <w:tcPr>
            <w:tcW w:w="1073" w:type="dxa"/>
            <w:vAlign w:val="center"/>
          </w:tcPr>
          <w:p w14:paraId="69695C1A">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职务</w:t>
            </w:r>
          </w:p>
        </w:tc>
        <w:tc>
          <w:tcPr>
            <w:tcW w:w="2783" w:type="dxa"/>
            <w:vAlign w:val="center"/>
          </w:tcPr>
          <w:p w14:paraId="5ADA9113">
            <w:pPr>
              <w:adjustRightInd w:val="0"/>
              <w:snapToGrid w:val="0"/>
              <w:jc w:val="center"/>
              <w:rPr>
                <w:rFonts w:hint="default" w:ascii="Times New Roman" w:hAnsi="Times New Roman" w:eastAsia="方正仿宋简体" w:cs="Times New Roman"/>
                <w:color w:val="auto"/>
                <w:lang w:val="en-US" w:eastAsia="zh-CN"/>
              </w:rPr>
            </w:pPr>
            <w:r>
              <w:rPr>
                <w:rFonts w:hint="eastAsia" w:ascii="仿宋_GB2312" w:hAnsi="仿宋_GB2312" w:eastAsia="仿宋_GB2312" w:cs="仿宋_GB2312"/>
                <w:bCs/>
                <w:color w:val="auto"/>
                <w:spacing w:val="6"/>
                <w:szCs w:val="28"/>
                <w:lang w:val="en-US" w:eastAsia="zh-CN"/>
              </w:rPr>
              <w:t>平谷区青创协会创业服务部副部长</w:t>
            </w:r>
          </w:p>
        </w:tc>
      </w:tr>
      <w:tr w14:paraId="764F9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668" w:type="dxa"/>
            <w:vAlign w:val="center"/>
          </w:tcPr>
          <w:p w14:paraId="13D5D88B">
            <w:pPr>
              <w:adjustRightInd w:val="0"/>
              <w:snapToGrid w:val="0"/>
              <w:jc w:val="center"/>
              <w:rPr>
                <w:rFonts w:hint="eastAsia" w:ascii="楷体_GB2312" w:hAnsi="楷体_GB2312" w:eastAsia="楷体_GB2312" w:cs="楷体_GB2312"/>
                <w:bCs/>
                <w:color w:val="auto"/>
                <w:spacing w:val="6"/>
                <w:szCs w:val="28"/>
                <w:lang w:val="en-US" w:eastAsia="zh-CN"/>
              </w:rPr>
            </w:pPr>
            <w:r>
              <w:rPr>
                <w:rFonts w:hint="eastAsia" w:ascii="楷体_GB2312" w:hAnsi="楷体_GB2312" w:eastAsia="楷体_GB2312" w:cs="楷体_GB2312"/>
                <w:color w:val="auto"/>
                <w:sz w:val="28"/>
                <w:szCs w:val="32"/>
                <w:lang w:val="en-US" w:eastAsia="zh-CN"/>
              </w:rPr>
              <w:t>联系方式</w:t>
            </w:r>
          </w:p>
        </w:tc>
        <w:tc>
          <w:tcPr>
            <w:tcW w:w="3076" w:type="dxa"/>
            <w:vAlign w:val="center"/>
          </w:tcPr>
          <w:p w14:paraId="3628AE71">
            <w:pPr>
              <w:adjustRightInd w:val="0"/>
              <w:snapToGrid w:val="0"/>
              <w:jc w:val="center"/>
              <w:rPr>
                <w:rFonts w:hint="default" w:ascii="仿宋_GB2312" w:hAnsi="仿宋_GB2312" w:eastAsia="仿宋_GB2312" w:cs="仿宋_GB2312"/>
                <w:bCs/>
                <w:color w:val="auto"/>
                <w:spacing w:val="6"/>
                <w:szCs w:val="28"/>
                <w:lang w:val="en-US" w:eastAsia="zh-CN"/>
              </w:rPr>
            </w:pPr>
            <w:r>
              <w:rPr>
                <w:rFonts w:hint="eastAsia" w:ascii="仿宋_GB2312" w:hAnsi="仿宋_GB2312" w:eastAsia="仿宋_GB2312" w:cs="仿宋_GB2312"/>
                <w:bCs/>
                <w:color w:val="auto"/>
                <w:spacing w:val="6"/>
                <w:szCs w:val="28"/>
                <w:lang w:val="en-US" w:eastAsia="zh-CN"/>
              </w:rPr>
              <w:t>15001203654</w:t>
            </w:r>
          </w:p>
        </w:tc>
        <w:tc>
          <w:tcPr>
            <w:tcW w:w="1073" w:type="dxa"/>
            <w:vAlign w:val="center"/>
          </w:tcPr>
          <w:p w14:paraId="6FE08B39">
            <w:pPr>
              <w:adjustRightInd w:val="0"/>
              <w:spacing w:line="560" w:lineRule="exact"/>
              <w:jc w:val="center"/>
              <w:rPr>
                <w:rFonts w:hint="eastAsia" w:ascii="楷体_GB2312" w:hAnsi="楷体_GB2312" w:eastAsia="楷体_GB2312" w:cs="楷体_GB2312"/>
                <w:color w:val="auto"/>
                <w:sz w:val="28"/>
                <w:szCs w:val="32"/>
              </w:rPr>
            </w:pPr>
            <w:r>
              <w:rPr>
                <w:rFonts w:hint="eastAsia" w:ascii="楷体_GB2312" w:hAnsi="楷体_GB2312" w:eastAsia="楷体_GB2312" w:cs="楷体_GB2312"/>
                <w:color w:val="auto"/>
                <w:sz w:val="28"/>
                <w:szCs w:val="32"/>
              </w:rPr>
              <w:t>微信</w:t>
            </w:r>
          </w:p>
        </w:tc>
        <w:tc>
          <w:tcPr>
            <w:tcW w:w="2783" w:type="dxa"/>
            <w:vAlign w:val="center"/>
          </w:tcPr>
          <w:p w14:paraId="34971348">
            <w:pPr>
              <w:adjustRightInd w:val="0"/>
              <w:jc w:val="center"/>
              <w:rPr>
                <w:rFonts w:hint="eastAsia" w:ascii="Times New Roman" w:hAnsi="Times New Roman" w:eastAsia="方正仿宋简体" w:cs="Times New Roman"/>
                <w:color w:val="auto"/>
              </w:rPr>
            </w:pPr>
            <w:r>
              <w:rPr>
                <w:rFonts w:hint="eastAsia" w:ascii="仿宋_GB2312" w:hAnsi="仿宋_GB2312" w:eastAsia="仿宋_GB2312" w:cs="仿宋_GB2312"/>
                <w:bCs/>
                <w:color w:val="auto"/>
                <w:spacing w:val="6"/>
                <w:szCs w:val="28"/>
                <w:lang w:val="en-US" w:eastAsia="zh-CN"/>
              </w:rPr>
              <w:t>15001203654</w:t>
            </w:r>
          </w:p>
        </w:tc>
      </w:tr>
    </w:tbl>
    <w:p w14:paraId="24F12A9A">
      <w:pPr>
        <w:tabs>
          <w:tab w:val="left" w:pos="8640"/>
        </w:tabs>
        <w:adjustRightInd w:val="0"/>
        <w:snapToGrid w:val="0"/>
        <w:spacing w:line="560" w:lineRule="exact"/>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二、选题说明</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35"/>
        <w:gridCol w:w="6669"/>
      </w:tblGrid>
      <w:tr w14:paraId="5C895F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980"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5D2693A">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选题</w:t>
            </w:r>
            <w:r>
              <w:rPr>
                <w:rFonts w:hint="eastAsia" w:ascii="楷体_GB2312" w:hAnsi="楷体_GB2312" w:eastAsia="楷体_GB2312" w:cs="楷体_GB2312"/>
                <w:b w:val="0"/>
                <w:color w:val="000000"/>
                <w:sz w:val="28"/>
                <w:szCs w:val="28"/>
              </w:rPr>
              <w:t>题目</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5E15C3A">
            <w:pPr>
              <w:adjustRightInd w:val="0"/>
              <w:snapToGrid w:val="0"/>
              <w:jc w:val="center"/>
              <w:rPr>
                <w:rFonts w:hint="default" w:ascii="仿宋_GB2312" w:hAnsi="仿宋_GB2312" w:eastAsia="仿宋_GB2312" w:cs="仿宋_GB2312"/>
                <w:b w:val="0"/>
                <w:color w:val="000000"/>
                <w:lang w:val="en-US"/>
              </w:rPr>
            </w:pPr>
            <w:r>
              <w:rPr>
                <w:rFonts w:hint="eastAsia" w:ascii="仿宋_GB2312" w:hAnsi="仿宋_GB2312" w:eastAsia="仿宋_GB2312" w:cs="仿宋_GB2312"/>
                <w:b w:val="0"/>
                <w:bCs/>
                <w:color w:val="000000"/>
                <w:spacing w:val="6"/>
                <w:szCs w:val="28"/>
                <w:lang w:eastAsia="zh-CN"/>
              </w:rPr>
              <w:t>人工</w:t>
            </w:r>
            <w:r>
              <w:rPr>
                <w:rFonts w:hint="eastAsia" w:ascii="仿宋_GB2312" w:hAnsi="仿宋_GB2312" w:eastAsia="仿宋_GB2312" w:cs="仿宋_GB2312"/>
                <w:b w:val="0"/>
                <w:bCs/>
                <w:color w:val="000000"/>
                <w:spacing w:val="6"/>
                <w:szCs w:val="28"/>
                <w:lang w:val="en-US" w:eastAsia="zh-CN"/>
              </w:rPr>
              <w:t>智能OPC新青年・青年</w:t>
            </w:r>
            <w:r>
              <w:rPr>
                <w:rFonts w:hint="eastAsia" w:ascii="仿宋_GB2312" w:hAnsi="仿宋_GB2312" w:eastAsia="仿宋_GB2312" w:cs="仿宋_GB2312"/>
                <w:b w:val="0"/>
                <w:bCs/>
                <w:color w:val="000000"/>
                <w:spacing w:val="6"/>
                <w:szCs w:val="28"/>
                <w:highlight w:val="none"/>
                <w:lang w:val="en-US" w:eastAsia="zh-CN"/>
              </w:rPr>
              <w:t>飞谷</w:t>
            </w:r>
            <w:r>
              <w:rPr>
                <w:rFonts w:hint="eastAsia" w:ascii="仿宋_GB2312" w:hAnsi="仿宋_GB2312" w:eastAsia="仿宋_GB2312" w:cs="仿宋_GB2312"/>
                <w:b w:val="0"/>
                <w:bCs/>
                <w:color w:val="000000"/>
                <w:spacing w:val="6"/>
                <w:szCs w:val="28"/>
                <w:lang w:val="en-US" w:eastAsia="zh-CN"/>
              </w:rPr>
              <w:t>项目</w:t>
            </w:r>
          </w:p>
        </w:tc>
      </w:tr>
      <w:tr w14:paraId="15E83F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524"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C1C3814">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行业领域</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8E1A280">
            <w:pPr>
              <w:adjustRightInd w:val="0"/>
              <w:snapToGrid w:val="0"/>
              <w:jc w:val="center"/>
              <w:rPr>
                <w:rFonts w:hint="eastAsia" w:ascii="仿宋_GB2312" w:hAnsi="仿宋_GB2312" w:eastAsia="仿宋_GB2312" w:cs="仿宋_GB2312"/>
                <w:b w:val="0"/>
                <w:color w:val="000000"/>
              </w:rPr>
            </w:pPr>
            <w:r>
              <w:rPr>
                <w:rFonts w:hint="eastAsia" w:ascii="仿宋_GB2312" w:hAnsi="仿宋_GB2312" w:eastAsia="仿宋_GB2312" w:cs="仿宋_GB2312"/>
                <w:b w:val="0"/>
                <w:color w:val="000000"/>
              </w:rPr>
              <w:t>农业农村现代化、“人工智能+”</w:t>
            </w:r>
          </w:p>
        </w:tc>
      </w:tr>
      <w:tr w14:paraId="44C034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5618"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BE214CB">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题目介绍</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4C74552">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为响应数字经济发展趋势，服务北京“四个中心”功能建设，特别是国际科技创新中心与高素质人才高地建设，并深入落实平谷区“青年</w:t>
            </w:r>
            <w:r>
              <w:rPr>
                <w:rFonts w:hint="eastAsia" w:ascii="仿宋_GB2312" w:hAnsi="仿宋_GB2312" w:eastAsia="仿宋_GB2312" w:cs="仿宋_GB2312"/>
                <w:b w:val="0"/>
                <w:bCs/>
                <w:color w:val="000000"/>
                <w:spacing w:val="6"/>
                <w:szCs w:val="28"/>
                <w:lang w:val="en-US" w:eastAsia="zh-CN"/>
              </w:rPr>
              <w:t>飞</w:t>
            </w:r>
            <w:r>
              <w:rPr>
                <w:rFonts w:hint="eastAsia" w:ascii="仿宋_GB2312" w:hAnsi="仿宋_GB2312" w:eastAsia="仿宋_GB2312" w:cs="仿宋_GB2312"/>
                <w:b w:val="0"/>
                <w:bCs/>
                <w:color w:val="000000"/>
                <w:spacing w:val="6"/>
                <w:szCs w:val="28"/>
                <w:lang w:val="en-US"/>
              </w:rPr>
              <w:t>谷计划”对青年创新创业的扶持政策，特设立本专项培育计划。</w:t>
            </w:r>
          </w:p>
          <w:p w14:paraId="5511CEB0">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本计划聚焦于人工智能时代下“一人公司”（One Person Company，简称OPC）模式的创新与拓展。核心命题是：如何借助当前成熟或前沿的AI工具（如大语言模型、生成式AI、自动化智能体等），系统性地构建一个高效、可持续的“一人公司”轻量化创业模型。我们关注的是方法论、工作流与商业模式的创新，而非单一工具的使用。</w:t>
            </w:r>
          </w:p>
          <w:p w14:paraId="0B795BBA">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具体需求方向包括但不限于：</w:t>
            </w:r>
          </w:p>
          <w:p w14:paraId="4CA8F48D">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AI增强型单人工作流设计：设计并验证一套核心业务环节（如市场分析、产品开发、内容创作、客户服务、运营管理）由AI深度辅助或部分代理的标准化、可复用的操作流程。</w:t>
            </w:r>
          </w:p>
          <w:p w14:paraId="10B1C1D1">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“AI伙伴”效能评估与优化方案：针对特定细分市场或业务类型，提出评估AI工具效能、控制输出质量、降低决策风险的具体策略与验证案例。</w:t>
            </w:r>
          </w:p>
          <w:p w14:paraId="06F7C407">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轻量化创业验证项目：基于上述模式，形成一个具体领域的微型创业项目方案，展示其可行性、竞争优势及成长路径。</w:t>
            </w:r>
          </w:p>
          <w:p w14:paraId="3844FB7E">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eastAsia="zh-CN"/>
              </w:rPr>
            </w:pPr>
            <w:r>
              <w:rPr>
                <w:rFonts w:hint="eastAsia" w:ascii="仿宋_GB2312" w:hAnsi="仿宋_GB2312" w:eastAsia="仿宋_GB2312" w:cs="仿宋_GB2312"/>
                <w:b w:val="0"/>
                <w:bCs/>
                <w:color w:val="000000"/>
                <w:spacing w:val="6"/>
                <w:szCs w:val="28"/>
                <w:lang w:val="en-US"/>
              </w:rPr>
              <w:t>我们鼓励具备跨学科思维、对AI应用与商业模式有浓厚兴趣的大学生团队揭榜。本计划旨在探索未来个体创业的新形态，优秀方案将获得“青年</w:t>
            </w:r>
            <w:r>
              <w:rPr>
                <w:rFonts w:hint="eastAsia" w:ascii="仿宋_GB2312" w:hAnsi="仿宋_GB2312" w:eastAsia="仿宋_GB2312" w:cs="仿宋_GB2312"/>
                <w:b w:val="0"/>
                <w:bCs/>
                <w:color w:val="000000"/>
                <w:spacing w:val="6"/>
                <w:szCs w:val="28"/>
                <w:lang w:val="en-US" w:eastAsia="zh-CN"/>
              </w:rPr>
              <w:t>飞</w:t>
            </w:r>
            <w:r>
              <w:rPr>
                <w:rFonts w:hint="eastAsia" w:ascii="仿宋_GB2312" w:hAnsi="仿宋_GB2312" w:eastAsia="仿宋_GB2312" w:cs="仿宋_GB2312"/>
                <w:b w:val="0"/>
                <w:bCs/>
                <w:color w:val="000000"/>
                <w:spacing w:val="6"/>
                <w:szCs w:val="28"/>
                <w:lang w:val="en-US"/>
              </w:rPr>
              <w:t>谷计划”在创业指导、资源对接及潜在政策支持方面的重点关注，助力青年学子以最小初始成本验证并实现创业梦想。</w:t>
            </w:r>
          </w:p>
        </w:tc>
      </w:tr>
      <w:tr w14:paraId="3E127C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96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0992E01">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作品要求</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6496F28E">
            <w:pPr>
              <w:adjustRightInd w:val="0"/>
              <w:snapToGrid w:val="0"/>
              <w:ind w:firstLine="504" w:firstLineChars="200"/>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一、 作品提交要求</w:t>
            </w:r>
          </w:p>
          <w:p w14:paraId="709FCA2F">
            <w:pPr>
              <w:adjustRightInd w:val="0"/>
              <w:snapToGrid w:val="0"/>
              <w:ind w:firstLine="504" w:firstLineChars="200"/>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作品形式：提交一份完整的创业计划方案</w:t>
            </w:r>
            <w:r>
              <w:rPr>
                <w:rFonts w:hint="eastAsia" w:ascii="仿宋_GB2312" w:hAnsi="仿宋_GB2312" w:eastAsia="仿宋_GB2312" w:cs="仿宋_GB2312"/>
                <w:b w:val="0"/>
                <w:bCs/>
                <w:color w:val="000000"/>
                <w:spacing w:val="6"/>
                <w:szCs w:val="28"/>
                <w:lang w:val="en-US" w:eastAsia="zh-CN"/>
              </w:rPr>
              <w:t>及AI工作流</w:t>
            </w:r>
            <w:r>
              <w:rPr>
                <w:rFonts w:hint="eastAsia" w:ascii="仿宋_GB2312" w:hAnsi="仿宋_GB2312" w:eastAsia="仿宋_GB2312" w:cs="仿宋_GB2312"/>
                <w:b w:val="0"/>
                <w:bCs/>
                <w:color w:val="000000"/>
                <w:spacing w:val="6"/>
                <w:szCs w:val="28"/>
              </w:rPr>
              <w:t>。方案应结构清晰，逻辑严谨，核心部分必须包含：</w:t>
            </w:r>
          </w:p>
          <w:p w14:paraId="7266C6FA">
            <w:pPr>
              <w:adjustRightInd w:val="0"/>
              <w:snapToGrid w:val="0"/>
              <w:ind w:firstLine="504" w:firstLineChars="200"/>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模式设计：详细阐述您所构建的AI-OPC创业模式，包括其目标市场、核心价值主张、AI工具的应用架构与工作流设计。</w:t>
            </w:r>
          </w:p>
          <w:p w14:paraId="47AC2FAB">
            <w:pPr>
              <w:adjustRightInd w:val="0"/>
              <w:snapToGrid w:val="0"/>
              <w:ind w:firstLine="504" w:firstLineChars="200"/>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验证方案：提供如何验证该模式可行性的具体方法，例如原型演示、小规模市场测试数据、关键流程的模拟运行报告、或详细的效能对比分析。</w:t>
            </w:r>
          </w:p>
          <w:p w14:paraId="6DA3B553">
            <w:pPr>
              <w:adjustRightInd w:val="0"/>
              <w:snapToGrid w:val="0"/>
              <w:ind w:firstLine="504" w:firstLineChars="200"/>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发展计划：描述该模式的短期实施步骤、中期扩展路径及潜在的商业与社会价值。</w:t>
            </w:r>
          </w:p>
          <w:p w14:paraId="6B7AE3E1">
            <w:pPr>
              <w:adjustRightInd w:val="0"/>
              <w:snapToGrid w:val="0"/>
              <w:ind w:firstLine="504" w:firstLineChars="200"/>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作品格式：</w:t>
            </w:r>
          </w:p>
          <w:p w14:paraId="0E81B7DD">
            <w:pPr>
              <w:adjustRightInd w:val="0"/>
              <w:snapToGrid w:val="0"/>
              <w:ind w:firstLine="504" w:firstLineChars="200"/>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主文档为PDF格式，字数不超过8000字（不含附录）。</w:t>
            </w:r>
          </w:p>
          <w:p w14:paraId="33E6C897">
            <w:pPr>
              <w:adjustRightInd w:val="0"/>
              <w:snapToGrid w:val="0"/>
              <w:ind w:firstLine="504" w:firstLineChars="200"/>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可提供补充材料，如演示视频（不超过5分钟）、原型系统链接、数据图表等，作为辅助说明。</w:t>
            </w:r>
          </w:p>
          <w:p w14:paraId="1D269C7B">
            <w:pPr>
              <w:adjustRightInd w:val="0"/>
              <w:snapToGrid w:val="0"/>
              <w:ind w:firstLine="504" w:firstLineChars="200"/>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提交时间与方式：</w:t>
            </w:r>
          </w:p>
          <w:p w14:paraId="1959F167">
            <w:pPr>
              <w:adjustRightInd w:val="0"/>
              <w:snapToGrid w:val="0"/>
              <w:ind w:firstLine="504" w:firstLineChars="200"/>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请于【请组委会填写具体日期】前，通过大赛官方指定平台完成提交。</w:t>
            </w:r>
          </w:p>
          <w:p w14:paraId="0A4F0B36">
            <w:pPr>
              <w:adjustRightInd w:val="0"/>
              <w:snapToGrid w:val="0"/>
              <w:ind w:firstLine="504" w:firstLineChars="200"/>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作品文件中不得出现学校、指导教师及团队成员姓名等任何个人信息，以确保盲审公平。</w:t>
            </w:r>
          </w:p>
          <w:p w14:paraId="3A184C47">
            <w:pPr>
              <w:adjustRightInd w:val="0"/>
              <w:snapToGrid w:val="0"/>
              <w:ind w:firstLine="504" w:firstLineChars="200"/>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二、 评选标准（权重）</w:t>
            </w:r>
          </w:p>
          <w:p w14:paraId="3DEB6150">
            <w:pPr>
              <w:adjustRightInd w:val="0"/>
              <w:snapToGrid w:val="0"/>
              <w:ind w:firstLine="504" w:firstLineChars="200"/>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创新性（30%）：方案是否提出了新颖的AI-OPC模型、工作流或商业应用视角。对现有AI工具的组合应用方式是否具有创造性。</w:t>
            </w:r>
          </w:p>
          <w:p w14:paraId="4704D046">
            <w:pPr>
              <w:adjustRightInd w:val="0"/>
              <w:snapToGrid w:val="0"/>
              <w:ind w:firstLine="504" w:firstLineChars="200"/>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可行性（30%）：方案是否具备现实创业的实践基础。技术路径是否清晰、成本是否可控、市场切入点是否明确、潜在风险是否经过考量。</w:t>
            </w:r>
          </w:p>
          <w:p w14:paraId="41AD3D97">
            <w:pPr>
              <w:adjustRightInd w:val="0"/>
              <w:snapToGrid w:val="0"/>
              <w:ind w:firstLine="504" w:firstLineChars="200"/>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完整性（20%）：方案逻辑是否自洽，是否全面覆盖了模式设计、验证与发展规划等核心环节，论证过程是否充分。</w:t>
            </w:r>
          </w:p>
          <w:p w14:paraId="528DC698">
            <w:pPr>
              <w:adjustRightInd w:val="0"/>
              <w:snapToGrid w:val="0"/>
              <w:ind w:firstLine="504" w:firstLineChars="200"/>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成长潜力（20%）：方案所设计的模式是否具有可扩展性、可复制性，能否为社会创造积极价值（如提升个体生产力、创造新就业形态等）。</w:t>
            </w:r>
          </w:p>
          <w:p w14:paraId="7660E698">
            <w:pPr>
              <w:adjustRightInd w:val="0"/>
              <w:snapToGrid w:val="0"/>
              <w:ind w:firstLine="504" w:firstLineChars="200"/>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三、 重要提醒</w:t>
            </w:r>
          </w:p>
          <w:p w14:paraId="465847D9">
            <w:pPr>
              <w:adjustRightInd w:val="0"/>
              <w:snapToGrid w:val="0"/>
              <w:ind w:firstLine="504" w:firstLineChars="200"/>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严禁任何形式的商业绑定：参赛方案不得包含与特定企业、品牌进行商业合作的捆绑要求，或对参赛学生设置任何赛后的商业义务。</w:t>
            </w:r>
          </w:p>
          <w:p w14:paraId="4CF7169B">
            <w:pPr>
              <w:adjustRightInd w:val="0"/>
              <w:snapToGrid w:val="0"/>
              <w:ind w:firstLine="504" w:firstLineChars="200"/>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聚焦模式创新：本赛道核心是探索方法论与商业模式，而非单纯展示某一AI工具的使用技巧。请避免提交仅为某一工具应用案例或相对成熟的商业计划书复刻的方案。</w:t>
            </w:r>
          </w:p>
          <w:p w14:paraId="589D2D78">
            <w:pPr>
              <w:adjustRightInd w:val="0"/>
              <w:snapToGrid w:val="0"/>
              <w:ind w:firstLine="504" w:firstLineChars="200"/>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rPr>
              <w:t>鼓励轻量验证：提倡使用低成本或可公开获取的资源进行模式验证。方案优劣不以投资规模或技术复杂度论，而以创新思维与务实路径见长。</w:t>
            </w:r>
          </w:p>
          <w:p w14:paraId="499017F7">
            <w:pPr>
              <w:adjustRightInd w:val="0"/>
              <w:snapToGrid w:val="0"/>
              <w:ind w:firstLine="504" w:firstLineChars="200"/>
              <w:rPr>
                <w:rFonts w:hint="eastAsia" w:ascii="仿宋_GB2312" w:hAnsi="仿宋_GB2312" w:eastAsia="仿宋_GB2312" w:cs="仿宋_GB2312"/>
                <w:b w:val="0"/>
                <w:color w:val="000000"/>
              </w:rPr>
            </w:pPr>
            <w:r>
              <w:rPr>
                <w:rFonts w:hint="eastAsia" w:ascii="仿宋_GB2312" w:hAnsi="仿宋_GB2312" w:eastAsia="仿宋_GB2312" w:cs="仿宋_GB2312"/>
                <w:b w:val="0"/>
                <w:bCs/>
                <w:color w:val="000000"/>
                <w:spacing w:val="6"/>
                <w:szCs w:val="28"/>
              </w:rPr>
              <w:t>期待同学们提出具有前瞻性、可操作性、能充分展现青年智慧与创业精神的优秀方案！</w:t>
            </w:r>
          </w:p>
        </w:tc>
      </w:tr>
      <w:tr w14:paraId="1C00AB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050" w:hRule="atLeast"/>
          <w:jc w:val="center"/>
        </w:trPr>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A25FA2">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lang w:eastAsia="zh-CN"/>
              </w:rPr>
            </w:pPr>
            <w:r>
              <w:rPr>
                <w:rFonts w:hint="eastAsia" w:ascii="楷体_GB2312" w:hAnsi="楷体_GB2312" w:eastAsia="楷体_GB2312" w:cs="楷体_GB2312"/>
                <w:b w:val="0"/>
                <w:color w:val="000000"/>
                <w:sz w:val="28"/>
                <w:szCs w:val="28"/>
                <w:u w:val="none"/>
              </w:rPr>
              <w:t>作品</w:t>
            </w:r>
            <w:r>
              <w:rPr>
                <w:rFonts w:hint="eastAsia" w:ascii="楷体_GB2312" w:hAnsi="楷体_GB2312" w:eastAsia="楷体_GB2312" w:cs="楷体_GB2312"/>
                <w:b w:val="0"/>
                <w:color w:val="000000"/>
                <w:sz w:val="28"/>
                <w:szCs w:val="28"/>
                <w:u w:val="none"/>
                <w:lang w:eastAsia="zh-CN"/>
              </w:rPr>
              <w:t>评审</w:t>
            </w:r>
          </w:p>
          <w:p w14:paraId="7905990F">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标准</w:t>
            </w:r>
          </w:p>
        </w:tc>
        <w:tc>
          <w:tcPr>
            <w:tcW w:w="66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E638DE">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保障评审的科学性、公平性与导向性，特制定以下量化评审标准。满分100分，从四个维度对参赛作品进行综合评价：</w:t>
            </w:r>
          </w:p>
          <w:p w14:paraId="43F885E7">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一、创新性（30分）</w:t>
            </w:r>
          </w:p>
          <w:p w14:paraId="3F017F37">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评分说明：考察方案在概念、方法或应用场景上的新颖程度与独创性。</w:t>
            </w:r>
          </w:p>
          <w:p w14:paraId="3A517545">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量化指标：</w:t>
            </w:r>
          </w:p>
          <w:p w14:paraId="21EAFC28">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理念创新（10分）：是否提出了对AI-OPC（一人公司）模式的新定义、新见解或新的价值主张，与现有常见模式有显著区别。</w:t>
            </w:r>
          </w:p>
          <w:p w14:paraId="0CC025A7">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方法创新（10分）：在整合与运用AI工具构建自动化、智能化工作流方面，是否具有独特的架构设计或技术实现思路。</w:t>
            </w:r>
          </w:p>
          <w:p w14:paraId="366439B6">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场景创新（10分）：是否瞄准了新兴的、未被充分开发的细分市场或需求痛点，开拓了AI赋能个体创业的新领域。</w:t>
            </w:r>
          </w:p>
          <w:p w14:paraId="1B01625F">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二、可行性（30分）</w:t>
            </w:r>
          </w:p>
          <w:p w14:paraId="70F0E86C">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评分说明：考察方案在现实条件下的实践落地可能，包括技术、成本、市场及风险考量。</w:t>
            </w:r>
          </w:p>
          <w:p w14:paraId="03CFEF9B">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量化指标：</w:t>
            </w:r>
          </w:p>
          <w:p w14:paraId="5C5B0B25">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技术路径清晰度（8分）：所选用的核心AI工具与技术是否明确、可获取，其应用逻辑是否阐述清晰。</w:t>
            </w:r>
          </w:p>
          <w:p w14:paraId="7F0CC492">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成本与资源可控性（8分）：启动及运营成本估算是否合理，所需资源（数据、算力等）是否在学生团队可承受或可解决的范围内。</w:t>
            </w:r>
          </w:p>
          <w:p w14:paraId="4E435FF9">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市场与验证可行性（8分）：目标客户或市场需求分析是否具体，提出的最小可行性验证方案（MVP）是否合理且可操作。</w:t>
            </w:r>
          </w:p>
          <w:p w14:paraId="607C14B1">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风险识别与应对（6分）：是否系统识别了技术、市场、运营等方面的主要风险，并提出了初步的应对策略。</w:t>
            </w:r>
          </w:p>
          <w:p w14:paraId="7818003C">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三、完整性（20分）</w:t>
            </w:r>
          </w:p>
          <w:p w14:paraId="7BC9CCAD">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评分说明：考察方案逻辑的严谨性、内容的完备性及论证的充分性。</w:t>
            </w:r>
          </w:p>
          <w:p w14:paraId="3EF0020A">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量化指标：</w:t>
            </w:r>
          </w:p>
          <w:p w14:paraId="5FB28FDB">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结构完整性（7分）：方案是否完整包含模式设计、验证方案、发展计划等核心模块，逻辑链条是否顺畅。</w:t>
            </w:r>
          </w:p>
          <w:p w14:paraId="6B9AB599">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论证充分性（7分）：核心论点是否有数据、案例或合理的推演作为支撑，分析是否深入。</w:t>
            </w:r>
          </w:p>
          <w:p w14:paraId="1B6C6C4B">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表述专业性（6分）：方案文档是否结构清晰、表述规范、重点突出，辅助材料是否有效支撑核心内容。</w:t>
            </w:r>
          </w:p>
          <w:p w14:paraId="49AA1ADB">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四、成长潜力（20分）</w:t>
            </w:r>
          </w:p>
          <w:p w14:paraId="6F834A27">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评分说明：考察方案所构建模式的可扩展性、可持续性及社会价值。</w:t>
            </w:r>
          </w:p>
          <w:p w14:paraId="6A4F1D44">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量化指标：</w:t>
            </w:r>
          </w:p>
          <w:p w14:paraId="3652B347">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可扩展性与复制性（7分）：该模式是否易于在更大规模或更多领域进行复制和扩展，而不仅限于单一项目。</w:t>
            </w:r>
          </w:p>
          <w:p w14:paraId="592E3E07">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可持续发展性（7分）：商业模式是否清晰，是否具备长期的盈利潜力或自我维持的能力。</w:t>
            </w:r>
          </w:p>
          <w:p w14:paraId="74E4D8AA">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社会价值（6分）：项目是否对社会有积极影响，如提升个体生产力、促进灵活就业、填补市场空白等。</w:t>
            </w:r>
          </w:p>
          <w:p w14:paraId="7B88977A">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p>
        </w:tc>
      </w:tr>
      <w:tr w14:paraId="0C4172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46" w:hRule="atLeast"/>
          <w:jc w:val="center"/>
        </w:trPr>
        <w:tc>
          <w:tcPr>
            <w:tcW w:w="183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6A23CD5">
            <w:pPr>
              <w:overflowPunct w:val="0"/>
              <w:adjustRightInd w:val="0"/>
              <w:snapToGrid w:val="0"/>
              <w:spacing w:line="240" w:lineRule="auto"/>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u w:val="none"/>
              </w:rPr>
              <w:t>其他</w:t>
            </w:r>
          </w:p>
        </w:tc>
        <w:tc>
          <w:tcPr>
            <w:tcW w:w="666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2C040D6D">
            <w:pPr>
              <w:overflowPunct w:val="0"/>
              <w:adjustRightInd w:val="0"/>
              <w:snapToGrid w:val="0"/>
              <w:ind w:firstLine="504" w:firstLineChars="200"/>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u w:val="none"/>
              </w:rPr>
              <w:t>评审将采用盲审形式，由相关领域专家、创业导师及产业代表组成的评委会，依据上述标准独立打分。最终得分将根据各维度加权计算得出。重点鼓励那些在创新性与可行性上找到最佳平衡点的作品。</w:t>
            </w:r>
          </w:p>
        </w:tc>
      </w:tr>
    </w:tbl>
    <w:p w14:paraId="221A920E">
      <w:pPr>
        <w:rPr>
          <w:rFonts w:hint="eastAsia" w:ascii="方正黑体简体" w:eastAsia="方正黑体简体"/>
          <w:bCs/>
          <w:color w:val="auto"/>
          <w:spacing w:val="6"/>
          <w:sz w:val="32"/>
          <w:szCs w:val="32"/>
        </w:rPr>
      </w:pPr>
      <w:r>
        <w:rPr>
          <w:rFonts w:hint="eastAsia" w:ascii="方正黑体简体" w:eastAsia="方正黑体简体"/>
          <w:bCs/>
          <w:color w:val="auto"/>
          <w:spacing w:val="6"/>
          <w:sz w:val="32"/>
          <w:szCs w:val="32"/>
        </w:rPr>
        <w:br w:type="page"/>
      </w:r>
    </w:p>
    <w:p w14:paraId="0A189F7F">
      <w:pPr>
        <w:tabs>
          <w:tab w:val="left" w:pos="8640"/>
        </w:tabs>
        <w:adjustRightInd w:val="0"/>
        <w:snapToGrid w:val="0"/>
        <w:spacing w:line="440" w:lineRule="exact"/>
        <w:rPr>
          <w:rFonts w:ascii="方正黑体简体" w:eastAsia="方正黑体简体"/>
          <w:bCs/>
          <w:color w:val="auto"/>
          <w:spacing w:val="6"/>
          <w:sz w:val="32"/>
          <w:szCs w:val="32"/>
        </w:rPr>
      </w:pPr>
      <w:r>
        <w:rPr>
          <w:rFonts w:hint="eastAsia" w:ascii="方正黑体简体" w:eastAsia="方正黑体简体"/>
          <w:bCs/>
          <w:color w:val="auto"/>
          <w:spacing w:val="6"/>
          <w:sz w:val="32"/>
          <w:szCs w:val="32"/>
        </w:rPr>
        <w:t>三、激励保障</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3AC238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2414"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10AA36C7">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lang w:val="en-US" w:eastAsia="zh-CN"/>
              </w:rPr>
              <w:t>保障</w:t>
            </w:r>
            <w:r>
              <w:rPr>
                <w:rFonts w:hint="eastAsia" w:ascii="楷体_GB2312" w:hAnsi="楷体_GB2312" w:eastAsia="楷体_GB2312" w:cs="楷体_GB2312"/>
                <w:b w:val="0"/>
                <w:color w:val="000000"/>
                <w:sz w:val="28"/>
                <w:szCs w:val="28"/>
              </w:rPr>
              <w:t>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0210C5FE">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一、实践与调研支持</w:t>
            </w:r>
          </w:p>
          <w:p w14:paraId="6765DD45">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调研便利：为团队在平谷区范围内的市场调研、用户访谈等需求，提供必要的联络协调与证明支持。</w:t>
            </w:r>
          </w:p>
          <w:p w14:paraId="3D37B65A">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eastAsia="zh-CN"/>
              </w:rPr>
              <w:t>二</w:t>
            </w:r>
            <w:r>
              <w:rPr>
                <w:rFonts w:hint="eastAsia" w:ascii="仿宋_GB2312" w:hAnsi="仿宋_GB2312" w:eastAsia="仿宋_GB2312" w:cs="仿宋_GB2312"/>
                <w:b w:val="0"/>
                <w:bCs/>
                <w:color w:val="000000"/>
                <w:spacing w:val="6"/>
                <w:szCs w:val="28"/>
                <w:lang w:val="en-US"/>
              </w:rPr>
              <w:t>、智力与指导支持</w:t>
            </w:r>
          </w:p>
          <w:p w14:paraId="31DD60B0">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“双导师”配备：为进入决赛的团队配备“双导师”，即一名来自高校或研究机构的学术创业导师，与一名来自相关产业的实践创业导师，在方案优化、技术路径、商业模式等方面提供咨询指导。</w:t>
            </w:r>
          </w:p>
          <w:p w14:paraId="116E5E3B">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eastAsia="zh-CN"/>
              </w:rPr>
              <w:t>三</w:t>
            </w:r>
            <w:r>
              <w:rPr>
                <w:rFonts w:hint="eastAsia" w:ascii="仿宋_GB2312" w:hAnsi="仿宋_GB2312" w:eastAsia="仿宋_GB2312" w:cs="仿宋_GB2312"/>
                <w:b w:val="0"/>
                <w:bCs/>
                <w:color w:val="000000"/>
                <w:spacing w:val="6"/>
                <w:szCs w:val="28"/>
                <w:lang w:val="en-US"/>
              </w:rPr>
              <w:t>、成果转化与持续服务</w:t>
            </w:r>
          </w:p>
          <w:p w14:paraId="2C85131E">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产教融合对接：对最终获奖且具有突出发展潜力的项目，主办方将积极协助其对接平谷区“青年</w:t>
            </w:r>
            <w:r>
              <w:rPr>
                <w:rFonts w:hint="eastAsia" w:ascii="仿宋_GB2312" w:hAnsi="仿宋_GB2312" w:eastAsia="仿宋_GB2312" w:cs="仿宋_GB2312"/>
                <w:b w:val="0"/>
                <w:bCs/>
                <w:color w:val="000000"/>
                <w:spacing w:val="6"/>
                <w:szCs w:val="28"/>
                <w:lang w:val="en-US" w:eastAsia="zh-CN"/>
              </w:rPr>
              <w:t>飞</w:t>
            </w:r>
            <w:r>
              <w:rPr>
                <w:rFonts w:hint="eastAsia" w:ascii="仿宋_GB2312" w:hAnsi="仿宋_GB2312" w:eastAsia="仿宋_GB2312" w:cs="仿宋_GB2312"/>
                <w:b w:val="0"/>
                <w:bCs/>
                <w:color w:val="000000"/>
                <w:spacing w:val="6"/>
                <w:szCs w:val="28"/>
                <w:lang w:val="en-US"/>
              </w:rPr>
              <w:t>谷计划”服务平台，探索进一步孵化的可能性。</w:t>
            </w:r>
          </w:p>
          <w:p w14:paraId="02B9EC47">
            <w:pPr>
              <w:adjustRightInd w:val="0"/>
              <w:snapToGrid w:val="0"/>
              <w:ind w:firstLine="504" w:firstLineChars="200"/>
              <w:jc w:val="both"/>
              <w:rPr>
                <w:rFonts w:hint="eastAsia" w:ascii="仿宋_GB2312" w:hAnsi="仿宋_GB2312" w:eastAsia="仿宋_GB2312" w:cs="仿宋_GB2312"/>
                <w:b w:val="0"/>
                <w:bCs/>
                <w:color w:val="000000"/>
                <w:spacing w:val="6"/>
                <w:szCs w:val="28"/>
              </w:rPr>
            </w:pPr>
            <w:r>
              <w:rPr>
                <w:rFonts w:hint="eastAsia" w:ascii="仿宋_GB2312" w:hAnsi="仿宋_GB2312" w:eastAsia="仿宋_GB2312" w:cs="仿宋_GB2312"/>
                <w:b w:val="0"/>
                <w:bCs/>
                <w:color w:val="000000"/>
                <w:spacing w:val="6"/>
                <w:szCs w:val="28"/>
                <w:lang w:val="en-US" w:eastAsia="zh-CN"/>
              </w:rPr>
              <w:t>四、</w:t>
            </w:r>
            <w:r>
              <w:rPr>
                <w:rFonts w:hint="eastAsia" w:ascii="仿宋_GB2312" w:hAnsi="仿宋_GB2312" w:eastAsia="仿宋_GB2312" w:cs="仿宋_GB2312"/>
                <w:b w:val="0"/>
                <w:bCs/>
                <w:color w:val="000000"/>
                <w:spacing w:val="6"/>
                <w:szCs w:val="28"/>
                <w:lang w:val="en-US"/>
              </w:rPr>
              <w:t>政策咨询服务：为有意向落地实践的团队，提供关于平谷区创业扶持、人才奖励、贷款担保等政策的解读与申请指引服务。</w:t>
            </w:r>
          </w:p>
        </w:tc>
      </w:tr>
      <w:tr w14:paraId="3B9964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962" w:hRule="atLeast"/>
          <w:jc w:val="center"/>
        </w:trPr>
        <w:tc>
          <w:tcPr>
            <w:tcW w:w="1815"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4DDD89FC">
            <w:pPr>
              <w:adjustRightInd w:val="0"/>
              <w:snapToGrid w:val="0"/>
              <w:spacing w:line="560" w:lineRule="exact"/>
              <w:jc w:val="center"/>
              <w:rPr>
                <w:rFonts w:hint="eastAsia" w:ascii="楷体_GB2312" w:hAnsi="楷体_GB2312" w:eastAsia="楷体_GB2312" w:cs="楷体_GB2312"/>
                <w:b w:val="0"/>
                <w:color w:val="000000"/>
                <w:sz w:val="28"/>
                <w:szCs w:val="28"/>
              </w:rPr>
            </w:pPr>
            <w:r>
              <w:rPr>
                <w:rFonts w:hint="eastAsia" w:ascii="楷体_GB2312" w:hAnsi="楷体_GB2312" w:eastAsia="楷体_GB2312" w:cs="楷体_GB2312"/>
                <w:b w:val="0"/>
                <w:color w:val="000000"/>
                <w:sz w:val="28"/>
                <w:szCs w:val="28"/>
              </w:rPr>
              <w:t>奖项设置和奖励措施</w:t>
            </w:r>
          </w:p>
        </w:tc>
        <w:tc>
          <w:tcPr>
            <w:tcW w:w="6689" w:type="dxa"/>
            <w:tcBorders>
              <w:top w:val="single" w:color="000000" w:sz="4" w:space="0"/>
              <w:left w:val="single" w:color="000000" w:sz="4" w:space="0"/>
              <w:bottom w:val="single" w:color="000000" w:sz="4" w:space="0"/>
              <w:right w:val="single" w:color="000000" w:sz="4" w:space="0"/>
              <w:tl2br w:val="nil"/>
              <w:tr2bl w:val="nil"/>
            </w:tcBorders>
            <w:shd w:val="clear" w:color="auto" w:fill="FFFFFF"/>
            <w:vAlign w:val="center"/>
          </w:tcPr>
          <w:p w14:paraId="7C310623">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一、 奖项设置</w:t>
            </w:r>
          </w:p>
          <w:p w14:paraId="0F7F3C61">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eastAsia="zh-CN"/>
              </w:rPr>
              <w:t>原则上设“擂主”团队1个，</w:t>
            </w:r>
            <w:r>
              <w:rPr>
                <w:rFonts w:hint="eastAsia" w:ascii="仿宋_GB2312" w:hAnsi="仿宋_GB2312" w:eastAsia="仿宋_GB2312" w:cs="仿宋_GB2312"/>
                <w:b w:val="0"/>
                <w:bCs/>
                <w:color w:val="000000"/>
                <w:spacing w:val="6"/>
                <w:szCs w:val="28"/>
                <w:lang w:val="en-US"/>
              </w:rPr>
              <w:t>根据实际情况评出相应的特等奖、一等奖、二等奖、三等奖项目若干。</w:t>
            </w:r>
          </w:p>
          <w:p w14:paraId="04CB9CA5">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二、 激励措施</w:t>
            </w:r>
          </w:p>
          <w:p w14:paraId="5F2C67D1">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eastAsia="zh-CN"/>
              </w:rPr>
              <w:t>（一）</w:t>
            </w:r>
            <w:r>
              <w:rPr>
                <w:rFonts w:hint="eastAsia" w:ascii="仿宋_GB2312" w:hAnsi="仿宋_GB2312" w:eastAsia="仿宋_GB2312" w:cs="仿宋_GB2312"/>
                <w:b w:val="0"/>
                <w:bCs/>
                <w:color w:val="000000"/>
                <w:spacing w:val="6"/>
                <w:szCs w:val="28"/>
                <w:lang w:val="en-US"/>
              </w:rPr>
              <w:t xml:space="preserve"> “擂主”团队专属奖励</w:t>
            </w:r>
          </w:p>
          <w:p w14:paraId="72C59C84">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擂主团队将获得以下“签约兑现”的顶级资源支持包：</w:t>
            </w:r>
          </w:p>
          <w:p w14:paraId="65F9AC7A">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创业启动包：提供价值5万元的创业服务包，包括但不限于：指定孵化器12个月免费工位、法律与财务咨询服务、知识产权申请辅助及媒体推广资源。</w:t>
            </w:r>
          </w:p>
          <w:p w14:paraId="2FA816BE">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产融对接特权：优先获得与平谷区属投资平台、产业基金的路演对接机会。</w:t>
            </w:r>
          </w:p>
          <w:p w14:paraId="2B05B522">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eastAsia="zh-CN"/>
              </w:rPr>
              <w:t>（二）</w:t>
            </w:r>
            <w:r>
              <w:rPr>
                <w:rFonts w:hint="eastAsia" w:ascii="仿宋_GB2312" w:hAnsi="仿宋_GB2312" w:eastAsia="仿宋_GB2312" w:cs="仿宋_GB2312"/>
                <w:b w:val="0"/>
                <w:bCs/>
                <w:color w:val="000000"/>
                <w:spacing w:val="6"/>
                <w:szCs w:val="28"/>
                <w:lang w:val="en-US"/>
              </w:rPr>
              <w:t xml:space="preserve"> 特等奖、一等奖、二等奖、三等奖团队奖励</w:t>
            </w:r>
          </w:p>
          <w:p w14:paraId="2062A3E7">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所有获奖团队均将获得以下成长支持包</w:t>
            </w:r>
          </w:p>
          <w:p w14:paraId="13014402">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实习与就业保障：</w:t>
            </w:r>
          </w:p>
          <w:p w14:paraId="71347278">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孵化与培育：</w:t>
            </w:r>
          </w:p>
          <w:p w14:paraId="4552F145">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特等奖：获得6个月免费孵化工位及创业导师团为期一年的深度辅导。</w:t>
            </w:r>
          </w:p>
          <w:p w14:paraId="0D19C994">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一等奖：获得3个月免费孵化工位及创业导师定期辅导。</w:t>
            </w:r>
          </w:p>
          <w:p w14:paraId="798ABA00">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二等奖、三等奖：获得优先入驻孵化器资格及创业培训课程全席位通行证。</w:t>
            </w:r>
          </w:p>
          <w:p w14:paraId="539E9A47">
            <w:pPr>
              <w:adjustRightInd w:val="0"/>
              <w:snapToGrid w:val="0"/>
              <w:ind w:firstLine="504" w:firstLineChars="200"/>
              <w:jc w:val="both"/>
              <w:rPr>
                <w:rFonts w:hint="eastAsia" w:ascii="仿宋_GB2312" w:hAnsi="仿宋_GB2312" w:eastAsia="仿宋_GB2312" w:cs="仿宋_GB2312"/>
                <w:b w:val="0"/>
                <w:bCs/>
                <w:color w:val="000000"/>
                <w:spacing w:val="6"/>
                <w:szCs w:val="28"/>
                <w:lang w:val="en-US"/>
              </w:rPr>
            </w:pPr>
            <w:r>
              <w:rPr>
                <w:rFonts w:hint="eastAsia" w:ascii="仿宋_GB2312" w:hAnsi="仿宋_GB2312" w:eastAsia="仿宋_GB2312" w:cs="仿宋_GB2312"/>
                <w:b w:val="0"/>
                <w:bCs/>
                <w:color w:val="000000"/>
                <w:spacing w:val="6"/>
                <w:szCs w:val="28"/>
                <w:lang w:val="en-US"/>
              </w:rPr>
              <w:t>人才政策对接：获奖团队获得平谷区“青年飞谷计划”中，对应奖项等级的创业奖励、项目资助及生活补贴等政策的专项申报辅导与优先推荐。</w:t>
            </w:r>
          </w:p>
        </w:tc>
      </w:tr>
    </w:tbl>
    <w:p w14:paraId="352EF07E">
      <w:pPr>
        <w:tabs>
          <w:tab w:val="left" w:pos="8640"/>
        </w:tabs>
        <w:adjustRightInd w:val="0"/>
        <w:snapToGrid w:val="0"/>
        <w:spacing w:line="560" w:lineRule="exact"/>
        <w:rPr>
          <w:rFonts w:hint="default" w:ascii="方正黑体简体" w:eastAsia="方正黑体简体"/>
          <w:bCs/>
          <w:color w:val="auto"/>
          <w:spacing w:val="6"/>
          <w:sz w:val="32"/>
          <w:szCs w:val="32"/>
          <w:lang w:val="en-US" w:eastAsia="zh-CN"/>
        </w:rPr>
      </w:pPr>
      <w:r>
        <w:rPr>
          <w:rFonts w:hint="eastAsia" w:ascii="方正黑体简体" w:eastAsia="方正黑体简体"/>
          <w:bCs/>
          <w:color w:val="auto"/>
          <w:spacing w:val="6"/>
          <w:sz w:val="32"/>
          <w:szCs w:val="32"/>
          <w:lang w:val="en-US" w:eastAsia="zh-CN"/>
        </w:rPr>
        <w:t>四、选题意义</w:t>
      </w:r>
    </w:p>
    <w:tbl>
      <w:tblPr>
        <w:tblStyle w:val="11"/>
        <w:tblW w:w="850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815"/>
        <w:gridCol w:w="6689"/>
      </w:tblGrid>
      <w:tr w14:paraId="70D9A6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93" w:hRule="atLeast"/>
          <w:jc w:val="center"/>
        </w:trPr>
        <w:tc>
          <w:tcPr>
            <w:tcW w:w="18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5D7ABB78">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技术意义</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B4E1FB">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lang w:eastAsia="zh-CN"/>
              </w:rPr>
            </w:pPr>
            <w:r>
              <w:rPr>
                <w:rFonts w:hint="eastAsia" w:ascii="仿宋_GB2312" w:hAnsi="仿宋_GB2312" w:eastAsia="仿宋_GB2312" w:cs="仿宋_GB2312"/>
                <w:b w:val="0"/>
                <w:bCs/>
                <w:color w:val="000000"/>
                <w:spacing w:val="6"/>
                <w:szCs w:val="28"/>
                <w:u w:val="none"/>
                <w:lang w:eastAsia="zh-CN"/>
              </w:rPr>
              <w:t>直面技术变革下的核心社会课题，探索人工智能赋能的“一人公司”（AI-OPC）模式，具有多层次的重要技术意义：</w:t>
            </w:r>
          </w:p>
          <w:p w14:paraId="6D6A5CEE">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lang w:eastAsia="zh-CN"/>
              </w:rPr>
            </w:pPr>
            <w:r>
              <w:rPr>
                <w:rFonts w:hint="eastAsia" w:ascii="仿宋_GB2312" w:hAnsi="仿宋_GB2312" w:eastAsia="仿宋_GB2312" w:cs="仿宋_GB2312"/>
                <w:b w:val="0"/>
                <w:bCs/>
                <w:color w:val="000000"/>
                <w:spacing w:val="6"/>
                <w:szCs w:val="28"/>
                <w:u w:val="none"/>
                <w:lang w:eastAsia="zh-CN"/>
              </w:rPr>
              <w:t>该模式通过AI工具大幅降低专业服务创业门槛，使个人能高效完成编程、设计等内容生产，从而将“寻找岗位”转化为“创造岗位”，为应对就业结构性矛盾、开辟高质量灵活就业提供可实践的新路径。</w:t>
            </w:r>
          </w:p>
          <w:p w14:paraId="3BCD1ACF">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lang w:eastAsia="zh-CN"/>
              </w:rPr>
            </w:pPr>
            <w:r>
              <w:rPr>
                <w:rFonts w:hint="eastAsia" w:ascii="仿宋_GB2312" w:hAnsi="仿宋_GB2312" w:eastAsia="仿宋_GB2312" w:cs="仿宋_GB2312"/>
                <w:b w:val="0"/>
                <w:bCs/>
                <w:color w:val="000000"/>
                <w:spacing w:val="6"/>
                <w:szCs w:val="28"/>
                <w:u w:val="none"/>
                <w:lang w:eastAsia="zh-CN"/>
              </w:rPr>
              <w:t>同时，本研究推动AI技术从“替代人力”转向“增强个体”，系统探索人机协同工作流，赋能单人实现团队级产出，激发微观经济主体活力，为数字经济增长培育创新单元。</w:t>
            </w:r>
          </w:p>
          <w:p w14:paraId="6061B31E">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lang w:eastAsia="zh-CN"/>
              </w:rPr>
            </w:pPr>
            <w:r>
              <w:rPr>
                <w:rFonts w:hint="eastAsia" w:ascii="仿宋_GB2312" w:hAnsi="仿宋_GB2312" w:eastAsia="仿宋_GB2312" w:cs="仿宋_GB2312"/>
                <w:b w:val="0"/>
                <w:bCs/>
                <w:color w:val="000000"/>
                <w:spacing w:val="6"/>
                <w:szCs w:val="28"/>
                <w:u w:val="none"/>
                <w:lang w:eastAsia="zh-CN"/>
              </w:rPr>
              <w:t>此外，AI-OPC模式强调战略决策、创意设计等未来人才核心能力，通过实践引导青年掌握人机协同与跨界整合技能，为国家培养适应智能经济生态的新型创业者与复合型人才。</w:t>
            </w:r>
          </w:p>
          <w:p w14:paraId="0093D29A">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lang w:eastAsia="zh-CN"/>
              </w:rPr>
              <w:t>综上，本选题不仅回应就业与产业转型的现实需求，更在技术应用范式、生产力革新与人才能力重塑方面具有探索性与前瞻性。</w:t>
            </w:r>
          </w:p>
        </w:tc>
      </w:tr>
      <w:tr w14:paraId="5CF213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733"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FCBDF4">
            <w:pPr>
              <w:overflowPunct w:val="0"/>
              <w:adjustRightInd w:val="0"/>
              <w:snapToGrid w:val="0"/>
              <w:spacing w:line="240" w:lineRule="auto"/>
              <w:jc w:val="center"/>
              <w:rPr>
                <w:rFonts w:hint="eastAsia" w:ascii="楷体_GB2312" w:hAnsi="楷体_GB2312" w:eastAsia="楷体_GB2312" w:cs="楷体_GB2312"/>
                <w:b w:val="0"/>
                <w:color w:val="000000"/>
                <w:sz w:val="28"/>
                <w:szCs w:val="28"/>
                <w:u w:val="none"/>
              </w:rPr>
            </w:pPr>
            <w:r>
              <w:rPr>
                <w:rFonts w:hint="eastAsia" w:ascii="楷体_GB2312" w:hAnsi="楷体_GB2312" w:eastAsia="楷体_GB2312" w:cs="楷体_GB2312"/>
                <w:b w:val="0"/>
                <w:color w:val="000000"/>
                <w:sz w:val="28"/>
                <w:szCs w:val="28"/>
                <w:u w:val="none"/>
              </w:rPr>
              <w:t>经济社会效益</w:t>
            </w:r>
          </w:p>
        </w:tc>
        <w:tc>
          <w:tcPr>
            <w:tcW w:w="6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A53FB1">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经济效益：通过降低创业门槛，激活海量个体创造力，孵化“专精特新”微型主体，为数字经济注入新动能。该模式可作为产业链柔性补充，为中小企业提供低成本、高质量的专业服务，助推产业效率提升与数字化转型。</w:t>
            </w:r>
          </w:p>
          <w:p w14:paraId="109E500C">
            <w:pPr>
              <w:overflowPunct w:val="0"/>
              <w:adjustRightInd w:val="0"/>
              <w:snapToGrid w:val="0"/>
              <w:ind w:firstLine="504" w:firstLineChars="200"/>
              <w:rPr>
                <w:rFonts w:hint="eastAsia" w:ascii="仿宋_GB2312" w:hAnsi="仿宋_GB2312" w:eastAsia="仿宋_GB2312" w:cs="仿宋_GB2312"/>
                <w:b w:val="0"/>
                <w:bCs/>
                <w:color w:val="000000"/>
                <w:spacing w:val="6"/>
                <w:szCs w:val="28"/>
                <w:u w:val="none"/>
              </w:rPr>
            </w:pPr>
            <w:r>
              <w:rPr>
                <w:rFonts w:hint="eastAsia" w:ascii="仿宋_GB2312" w:hAnsi="仿宋_GB2312" w:eastAsia="仿宋_GB2312" w:cs="仿宋_GB2312"/>
                <w:b w:val="0"/>
                <w:bCs/>
                <w:color w:val="000000"/>
                <w:spacing w:val="6"/>
                <w:szCs w:val="28"/>
                <w:u w:val="none"/>
              </w:rPr>
              <w:t>社会效益：为青年及专业人才开辟高质量、自主性强的就业新路径，推动更充分、更体面的就业。同时，该实践将引导教育与人才评价体系更注重创新思维与人机协同能力，为区域发展吸引并培育数字化创业人才，探索智能时代生产关系的新形态。</w:t>
            </w:r>
          </w:p>
        </w:tc>
      </w:tr>
    </w:tbl>
    <w:p w14:paraId="2E0DDFBE">
      <w:pPr>
        <w:keepNext w:val="0"/>
        <w:keepLines w:val="0"/>
        <w:pageBreakBefore w:val="0"/>
        <w:widowControl w:val="0"/>
        <w:kinsoku/>
        <w:wordWrap/>
        <w:overflowPunct/>
        <w:topLinePunct w:val="0"/>
        <w:autoSpaceDE/>
        <w:autoSpaceDN/>
        <w:bidi w:val="0"/>
        <w:adjustRightInd/>
        <w:snapToGrid/>
        <w:spacing w:line="240" w:lineRule="auto"/>
        <w:ind w:firstLine="480"/>
        <w:jc w:val="both"/>
        <w:textAlignment w:val="auto"/>
        <w:rPr>
          <w:rFonts w:hint="eastAsia" w:ascii="楷体_GB2312" w:hAnsi="楷体_GB2312" w:eastAsia="楷体_GB2312" w:cs="楷体_GB2312"/>
          <w:color w:val="auto"/>
          <w:lang w:val="en-US" w:eastAsia="zh-CN"/>
        </w:rPr>
      </w:pPr>
    </w:p>
    <w:sectPr>
      <w:footerReference r:id="rId8"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0B86164-3CAE-4ABC-9C6A-792B9E018FE3}"/>
  </w:font>
  <w:font w:name="黑体">
    <w:panose1 w:val="02010609060101010101"/>
    <w:charset w:val="86"/>
    <w:family w:val="auto"/>
    <w:pitch w:val="default"/>
    <w:sig w:usb0="800002BF" w:usb1="38CF7CFA" w:usb2="00000016" w:usb3="00000000" w:csb0="00040001" w:csb1="00000000"/>
    <w:embedRegular r:id="rId2" w:fontKey="{80DB205D-2357-42E8-9E35-04B46B2010B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embedRegular r:id="rId3" w:fontKey="{D5800FD8-2775-400A-AD64-A3D93F06698A}"/>
  </w:font>
  <w:font w:name="MS Gothic">
    <w:panose1 w:val="020B0609070205080204"/>
    <w:charset w:val="80"/>
    <w:family w:val="auto"/>
    <w:pitch w:val="default"/>
    <w:sig w:usb0="E00002FF" w:usb1="6AC7FDFB" w:usb2="08000012" w:usb3="00000000" w:csb0="4002009F" w:csb1="DFD70000"/>
    <w:embedRegular r:id="rId4" w:fontKey="{7420F807-5B1E-4CC6-96F5-63076A896C7E}"/>
  </w:font>
  <w:font w:name="方正小标宋简体">
    <w:panose1 w:val="03000509000000000000"/>
    <w:charset w:val="86"/>
    <w:family w:val="auto"/>
    <w:pitch w:val="default"/>
    <w:sig w:usb0="00000001" w:usb1="080E0000" w:usb2="00000000" w:usb3="00000000" w:csb0="00040000" w:csb1="00000000"/>
    <w:embedRegular r:id="rId5" w:fontKey="{79E21F07-4C54-4976-A692-71C1CE7A26DA}"/>
  </w:font>
  <w:font w:name="方正黑体简体">
    <w:panose1 w:val="03000509000000000000"/>
    <w:charset w:val="86"/>
    <w:family w:val="auto"/>
    <w:pitch w:val="default"/>
    <w:sig w:usb0="00000001" w:usb1="080E0000" w:usb2="00000000" w:usb3="00000000" w:csb0="00040000" w:csb1="00000000"/>
    <w:embedRegular r:id="rId6" w:fontKey="{F7F228AF-DB7A-456F-98C4-CF387A4910CB}"/>
  </w:font>
  <w:font w:name="楷体_GB2312">
    <w:panose1 w:val="02010609030101010101"/>
    <w:charset w:val="86"/>
    <w:family w:val="auto"/>
    <w:pitch w:val="default"/>
    <w:sig w:usb0="00000001" w:usb1="080E0000" w:usb2="00000000" w:usb3="00000000" w:csb0="00040000" w:csb1="00000000"/>
    <w:embedRegular r:id="rId7" w:fontKey="{EC3DB456-3FA1-400F-8490-2E0FB69949B8}"/>
  </w:font>
  <w:font w:name="方正仿宋简体">
    <w:panose1 w:val="03000509000000000000"/>
    <w:charset w:val="86"/>
    <w:family w:val="auto"/>
    <w:pitch w:val="default"/>
    <w:sig w:usb0="00000001" w:usb1="080E0000" w:usb2="00000000" w:usb3="00000000" w:csb0="00040000" w:csb1="00000000"/>
    <w:embedRegular r:id="rId8" w:fontKey="{7982E594-EF27-4118-B8B3-F8BA9B8A34EA}"/>
  </w:font>
  <w:font w:name="方正楷体简体">
    <w:panose1 w:val="03000509000000000000"/>
    <w:charset w:val="86"/>
    <w:family w:val="script"/>
    <w:pitch w:val="default"/>
    <w:sig w:usb0="00000001" w:usb1="080E0000" w:usb2="00000000" w:usb3="00000000" w:csb0="00040000" w:csb1="00000000"/>
    <w:embedRegular r:id="rId9" w:fontKey="{8C1E53CE-205D-4907-BC70-BCB549851C6A}"/>
  </w:font>
  <w:font w:name="楷体">
    <w:panose1 w:val="02010609060101010101"/>
    <w:charset w:val="86"/>
    <w:family w:val="auto"/>
    <w:pitch w:val="default"/>
    <w:sig w:usb0="800002BF" w:usb1="38CF7CFA" w:usb2="00000016" w:usb3="00000000" w:csb0="00040001" w:csb1="00000000"/>
    <w:embedRegular r:id="rId10" w:fontKey="{C16EF3CC-5E61-4185-87D6-17F601ACEC11}"/>
  </w:font>
  <w:font w:name="华文楷体">
    <w:panose1 w:val="02010600040101010101"/>
    <w:charset w:val="86"/>
    <w:family w:val="auto"/>
    <w:pitch w:val="default"/>
    <w:sig w:usb0="00000287" w:usb1="080F0000" w:usb2="00000000" w:usb3="00000000" w:csb0="0004009F" w:csb1="DFD70000"/>
    <w:embedRegular r:id="rId11" w:fontKey="{8B55BB4F-0828-46AB-97DF-1A2C9A5DDE5E}"/>
  </w:font>
  <w:font w:name="仿宋">
    <w:panose1 w:val="02010609060101010101"/>
    <w:charset w:val="86"/>
    <w:family w:val="modern"/>
    <w:pitch w:val="default"/>
    <w:sig w:usb0="800002BF" w:usb1="38CF7CFA" w:usb2="00000016" w:usb3="00000000" w:csb0="00040001" w:csb1="00000000"/>
    <w:embedRegular r:id="rId12" w:fontKey="{DC95630C-AFCA-4796-8DAB-4D5ECF2DF4B3}"/>
  </w:font>
  <w:font w:name="WPSEMBED1">
    <w:panose1 w:val="03000509000000000000"/>
    <w:charset w:val="86"/>
    <w:family w:val="auto"/>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23DB06">
    <w:pPr>
      <w:spacing w:line="173" w:lineRule="auto"/>
      <w:ind w:left="4408"/>
      <w:rPr>
        <w:rFonts w:ascii="Times New Roman" w:hAnsi="Times New Roman" w:eastAsia="Times New Roman" w:cs="Times New Roman"/>
        <w:sz w:val="14"/>
        <w:szCs w:val="14"/>
      </w:rPr>
    </w:pPr>
    <w:r>
      <w:rPr>
        <w:rFonts w:ascii="Times New Roman" w:hAnsi="Times New Roman" w:eastAsia="Times New Roman" w:cs="Times New Roman"/>
        <w:sz w:val="14"/>
        <w:szCs w:val="14"/>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6CE00">
    <w:pPr>
      <w:spacing w:line="172" w:lineRule="auto"/>
      <w:ind w:left="4432"/>
      <w:rPr>
        <w:rFonts w:ascii="Times New Roman" w:hAnsi="Times New Roman" w:eastAsia="Times New Roman" w:cs="Times New Roman"/>
        <w:sz w:val="13"/>
        <w:szCs w:val="13"/>
      </w:rPr>
    </w:pPr>
    <w:r>
      <w:rPr>
        <w:rFonts w:ascii="Times New Roman" w:hAnsi="Times New Roman" w:eastAsia="Times New Roman" w:cs="Times New Roman"/>
        <w:sz w:val="13"/>
        <w:szCs w:val="13"/>
      </w:rPr>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EBBE5">
    <w:pPr>
      <w:spacing w:line="173" w:lineRule="auto"/>
      <w:ind w:left="4530"/>
      <w:rPr>
        <w:rFonts w:ascii="Times New Roman" w:hAnsi="Times New Roman" w:eastAsia="Times New Roman" w:cs="Times New Roman"/>
        <w:sz w:val="14"/>
        <w:szCs w:val="14"/>
      </w:rPr>
    </w:pPr>
    <w:r>
      <w:rPr>
        <w:rFonts w:ascii="Times New Roman" w:hAnsi="Times New Roman" w:eastAsia="Times New Roman" w:cs="Times New Roman"/>
        <w:sz w:val="14"/>
        <w:szCs w:val="14"/>
      </w:rPr>
      <w:t>2</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241F55">
    <w:pPr>
      <w:spacing w:line="173" w:lineRule="auto"/>
      <w:ind w:left="4357"/>
      <w:rPr>
        <w:rFonts w:ascii="Times New Roman" w:hAnsi="Times New Roman" w:eastAsia="Times New Roman" w:cs="Times New Roman"/>
        <w:sz w:val="14"/>
        <w:szCs w:val="14"/>
      </w:rPr>
    </w:pPr>
    <w:r>
      <w:rPr>
        <w:rFonts w:ascii="Times New Roman" w:hAnsi="Times New Roman" w:eastAsia="Times New Roman" w:cs="Times New Roman"/>
        <w:sz w:val="14"/>
        <w:szCs w:val="14"/>
      </w:rPr>
      <w:t>3</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FE3A2">
    <w:pPr>
      <w:spacing w:line="170" w:lineRule="auto"/>
      <w:ind w:left="4381"/>
      <w:rPr>
        <w:rFonts w:ascii="Times New Roman" w:hAnsi="Times New Roman" w:eastAsia="Times New Roman" w:cs="Times New Roman"/>
        <w:sz w:val="14"/>
        <w:szCs w:val="14"/>
      </w:rPr>
    </w:pPr>
    <w:r>
      <w:rPr>
        <w:rFonts w:ascii="Times New Roman" w:hAnsi="Times New Roman" w:eastAsia="Times New Roman" w:cs="Times New Roman"/>
        <w:sz w:val="14"/>
        <w:szCs w:val="14"/>
      </w:rPr>
      <w:t>5</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4F4E0">
    <w:pPr>
      <w:pStyle w:val="6"/>
    </w:pPr>
  </w:p>
  <w:p w14:paraId="14CDF66F"/>
  <w:p w14:paraId="243DFBBF"/>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ECF3AE"/>
    <w:multiLevelType w:val="singleLevel"/>
    <w:tmpl w:val="8BECF3AE"/>
    <w:lvl w:ilvl="0" w:tentative="0">
      <w:start w:val="1"/>
      <w:numFmt w:val="decimal"/>
      <w:suff w:val="space"/>
      <w:lvlText w:val="%1."/>
      <w:lvlJc w:val="left"/>
    </w:lvl>
  </w:abstractNum>
  <w:abstractNum w:abstractNumId="1">
    <w:nsid w:val="151F89CA"/>
    <w:multiLevelType w:val="singleLevel"/>
    <w:tmpl w:val="151F89CA"/>
    <w:lvl w:ilvl="0" w:tentative="0">
      <w:start w:val="1"/>
      <w:numFmt w:val="decimal"/>
      <w:suff w:val="nothing"/>
      <w:lvlText w:val="%1、"/>
      <w:lvlJc w:val="left"/>
    </w:lvl>
  </w:abstractNum>
  <w:abstractNum w:abstractNumId="2">
    <w:nsid w:val="1A0BDD56"/>
    <w:multiLevelType w:val="singleLevel"/>
    <w:tmpl w:val="1A0BDD56"/>
    <w:lvl w:ilvl="0" w:tentative="0">
      <w:start w:val="1"/>
      <w:numFmt w:val="decimal"/>
      <w:suff w:val="nothing"/>
      <w:lvlText w:val="%1、"/>
      <w:lvlJc w:val="left"/>
    </w:lvl>
  </w:abstractNum>
  <w:abstractNum w:abstractNumId="3">
    <w:nsid w:val="2010396D"/>
    <w:multiLevelType w:val="multilevel"/>
    <w:tmpl w:val="2010396D"/>
    <w:lvl w:ilvl="0" w:tentative="0">
      <w:start w:val="1"/>
      <w:numFmt w:val="decimal"/>
      <w:lvlText w:val="%1."/>
      <w:lvlJc w:val="left"/>
      <w:pPr>
        <w:ind w:left="780" w:hanging="36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4">
    <w:nsid w:val="5E9E669D"/>
    <w:multiLevelType w:val="singleLevel"/>
    <w:tmpl w:val="5E9E669D"/>
    <w:lvl w:ilvl="0" w:tentative="0">
      <w:start w:val="1"/>
      <w:numFmt w:val="decimal"/>
      <w:suff w:val="space"/>
      <w:lvlText w:val="%1."/>
      <w:lvlJc w:val="left"/>
    </w:lvl>
  </w:abstractNum>
  <w:abstractNum w:abstractNumId="5">
    <w:nsid w:val="5FFE78A0"/>
    <w:multiLevelType w:val="singleLevel"/>
    <w:tmpl w:val="5FFE78A0"/>
    <w:lvl w:ilvl="0" w:tentative="0">
      <w:start w:val="1"/>
      <w:numFmt w:val="decimal"/>
      <w:suff w:val="nothing"/>
      <w:lvlText w:val="%1、"/>
      <w:lvlJc w:val="left"/>
    </w:lvl>
  </w:abstractNum>
  <w:abstractNum w:abstractNumId="6">
    <w:nsid w:val="7F6066B9"/>
    <w:multiLevelType w:val="multilevel"/>
    <w:tmpl w:val="7F6066B9"/>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6"/>
  </w:num>
  <w:num w:numId="2">
    <w:abstractNumId w:val="0"/>
  </w:num>
  <w:num w:numId="3">
    <w:abstractNumId w:val="4"/>
  </w:num>
  <w:num w:numId="4">
    <w:abstractNumId w:val="3"/>
  </w:num>
  <w:num w:numId="5">
    <w:abstractNumId w:val="5"/>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YzNjBkOTgyNWQ1YTMxYzM3MzMwNWFiODNmOWIzYWMifQ=="/>
  </w:docVars>
  <w:rsids>
    <w:rsidRoot w:val="008769EE"/>
    <w:rsid w:val="000024AF"/>
    <w:rsid w:val="000056DD"/>
    <w:rsid w:val="00005D1C"/>
    <w:rsid w:val="00016504"/>
    <w:rsid w:val="00021C1D"/>
    <w:rsid w:val="000420F1"/>
    <w:rsid w:val="00057714"/>
    <w:rsid w:val="000579E3"/>
    <w:rsid w:val="000626B0"/>
    <w:rsid w:val="0007034F"/>
    <w:rsid w:val="00075C5A"/>
    <w:rsid w:val="000A6775"/>
    <w:rsid w:val="000B59FE"/>
    <w:rsid w:val="000D5792"/>
    <w:rsid w:val="000D57EF"/>
    <w:rsid w:val="000D5CE7"/>
    <w:rsid w:val="000D7253"/>
    <w:rsid w:val="0010322A"/>
    <w:rsid w:val="0011069F"/>
    <w:rsid w:val="00115043"/>
    <w:rsid w:val="00120156"/>
    <w:rsid w:val="001360CE"/>
    <w:rsid w:val="001367A9"/>
    <w:rsid w:val="00142352"/>
    <w:rsid w:val="00143054"/>
    <w:rsid w:val="001579F2"/>
    <w:rsid w:val="00164C26"/>
    <w:rsid w:val="0016564C"/>
    <w:rsid w:val="00172BF5"/>
    <w:rsid w:val="00175648"/>
    <w:rsid w:val="001A0246"/>
    <w:rsid w:val="001A6D11"/>
    <w:rsid w:val="001B0D74"/>
    <w:rsid w:val="001B2C6C"/>
    <w:rsid w:val="001C0DFA"/>
    <w:rsid w:val="001D0729"/>
    <w:rsid w:val="001D4806"/>
    <w:rsid w:val="001E741B"/>
    <w:rsid w:val="001E760D"/>
    <w:rsid w:val="001E77C2"/>
    <w:rsid w:val="001F5AC3"/>
    <w:rsid w:val="001F6CC8"/>
    <w:rsid w:val="0020086A"/>
    <w:rsid w:val="00217A97"/>
    <w:rsid w:val="0022027A"/>
    <w:rsid w:val="00236E3E"/>
    <w:rsid w:val="00255C82"/>
    <w:rsid w:val="0026569C"/>
    <w:rsid w:val="00277A57"/>
    <w:rsid w:val="00281AE9"/>
    <w:rsid w:val="00283877"/>
    <w:rsid w:val="002923C5"/>
    <w:rsid w:val="002938E3"/>
    <w:rsid w:val="002B0D40"/>
    <w:rsid w:val="002D1753"/>
    <w:rsid w:val="002D6FA5"/>
    <w:rsid w:val="002E1FDB"/>
    <w:rsid w:val="002E7BFD"/>
    <w:rsid w:val="002F7D9C"/>
    <w:rsid w:val="00341051"/>
    <w:rsid w:val="00343B96"/>
    <w:rsid w:val="00354FAF"/>
    <w:rsid w:val="00363E2D"/>
    <w:rsid w:val="003701CF"/>
    <w:rsid w:val="00371816"/>
    <w:rsid w:val="003845ED"/>
    <w:rsid w:val="00392185"/>
    <w:rsid w:val="0039481F"/>
    <w:rsid w:val="003A2D89"/>
    <w:rsid w:val="003B6C68"/>
    <w:rsid w:val="003C3AAC"/>
    <w:rsid w:val="003C68FD"/>
    <w:rsid w:val="003E007F"/>
    <w:rsid w:val="00433313"/>
    <w:rsid w:val="00455A1D"/>
    <w:rsid w:val="00463782"/>
    <w:rsid w:val="00476A7D"/>
    <w:rsid w:val="004876C3"/>
    <w:rsid w:val="00494F44"/>
    <w:rsid w:val="00496D3E"/>
    <w:rsid w:val="004A0A91"/>
    <w:rsid w:val="004A4E02"/>
    <w:rsid w:val="004B00B4"/>
    <w:rsid w:val="004B01E5"/>
    <w:rsid w:val="004D0FC5"/>
    <w:rsid w:val="004D7510"/>
    <w:rsid w:val="004E551C"/>
    <w:rsid w:val="004F3DC9"/>
    <w:rsid w:val="00500DF0"/>
    <w:rsid w:val="00507BC4"/>
    <w:rsid w:val="00521EB2"/>
    <w:rsid w:val="005269C8"/>
    <w:rsid w:val="00532B4E"/>
    <w:rsid w:val="00532F86"/>
    <w:rsid w:val="005333BA"/>
    <w:rsid w:val="0053363C"/>
    <w:rsid w:val="00550A20"/>
    <w:rsid w:val="00564E32"/>
    <w:rsid w:val="005753FB"/>
    <w:rsid w:val="00577641"/>
    <w:rsid w:val="00580524"/>
    <w:rsid w:val="00585CAC"/>
    <w:rsid w:val="005944CA"/>
    <w:rsid w:val="005A1DB0"/>
    <w:rsid w:val="005C1A80"/>
    <w:rsid w:val="005C1AAC"/>
    <w:rsid w:val="005C6ACD"/>
    <w:rsid w:val="005D33E1"/>
    <w:rsid w:val="005D5D40"/>
    <w:rsid w:val="005F221F"/>
    <w:rsid w:val="00603AF5"/>
    <w:rsid w:val="00606DA8"/>
    <w:rsid w:val="00613169"/>
    <w:rsid w:val="00613AAA"/>
    <w:rsid w:val="006226BA"/>
    <w:rsid w:val="00624B5C"/>
    <w:rsid w:val="00633F6B"/>
    <w:rsid w:val="00636F96"/>
    <w:rsid w:val="00646247"/>
    <w:rsid w:val="0066226D"/>
    <w:rsid w:val="00662D41"/>
    <w:rsid w:val="00663468"/>
    <w:rsid w:val="00693B33"/>
    <w:rsid w:val="00696378"/>
    <w:rsid w:val="006A0549"/>
    <w:rsid w:val="006A3A6E"/>
    <w:rsid w:val="006A51DF"/>
    <w:rsid w:val="006C3959"/>
    <w:rsid w:val="006C732F"/>
    <w:rsid w:val="006D5E75"/>
    <w:rsid w:val="006E6DDA"/>
    <w:rsid w:val="006F10F0"/>
    <w:rsid w:val="00703592"/>
    <w:rsid w:val="00704B08"/>
    <w:rsid w:val="0070733F"/>
    <w:rsid w:val="007168CF"/>
    <w:rsid w:val="007216F0"/>
    <w:rsid w:val="00724EAF"/>
    <w:rsid w:val="0073249A"/>
    <w:rsid w:val="00746651"/>
    <w:rsid w:val="0074676F"/>
    <w:rsid w:val="0075096A"/>
    <w:rsid w:val="00751811"/>
    <w:rsid w:val="00753ECA"/>
    <w:rsid w:val="007711FB"/>
    <w:rsid w:val="00777C79"/>
    <w:rsid w:val="00792BCA"/>
    <w:rsid w:val="007934F8"/>
    <w:rsid w:val="007C5F61"/>
    <w:rsid w:val="007F4204"/>
    <w:rsid w:val="00801614"/>
    <w:rsid w:val="008033C9"/>
    <w:rsid w:val="00805D49"/>
    <w:rsid w:val="00816F55"/>
    <w:rsid w:val="00825DE6"/>
    <w:rsid w:val="00825FD8"/>
    <w:rsid w:val="008313DD"/>
    <w:rsid w:val="008321B0"/>
    <w:rsid w:val="00846294"/>
    <w:rsid w:val="0085042E"/>
    <w:rsid w:val="00851D22"/>
    <w:rsid w:val="0086052B"/>
    <w:rsid w:val="00860FD3"/>
    <w:rsid w:val="008669B5"/>
    <w:rsid w:val="00867EEA"/>
    <w:rsid w:val="00872C0C"/>
    <w:rsid w:val="008738D4"/>
    <w:rsid w:val="008769EE"/>
    <w:rsid w:val="0088143A"/>
    <w:rsid w:val="008836AC"/>
    <w:rsid w:val="00887D7E"/>
    <w:rsid w:val="0089086B"/>
    <w:rsid w:val="008A16EE"/>
    <w:rsid w:val="008B748E"/>
    <w:rsid w:val="008C4B94"/>
    <w:rsid w:val="008D1E8D"/>
    <w:rsid w:val="008E3EE3"/>
    <w:rsid w:val="008F2FB1"/>
    <w:rsid w:val="00912ADC"/>
    <w:rsid w:val="00917F07"/>
    <w:rsid w:val="00923192"/>
    <w:rsid w:val="00931DCA"/>
    <w:rsid w:val="00932E54"/>
    <w:rsid w:val="0093518D"/>
    <w:rsid w:val="00937CB6"/>
    <w:rsid w:val="00953BA4"/>
    <w:rsid w:val="00954857"/>
    <w:rsid w:val="009632E8"/>
    <w:rsid w:val="00966187"/>
    <w:rsid w:val="009722F8"/>
    <w:rsid w:val="00984CEA"/>
    <w:rsid w:val="00987542"/>
    <w:rsid w:val="00995541"/>
    <w:rsid w:val="009E7C56"/>
    <w:rsid w:val="00A02213"/>
    <w:rsid w:val="00A0235C"/>
    <w:rsid w:val="00A0448F"/>
    <w:rsid w:val="00A21117"/>
    <w:rsid w:val="00A22759"/>
    <w:rsid w:val="00A2670B"/>
    <w:rsid w:val="00A30D68"/>
    <w:rsid w:val="00A4232F"/>
    <w:rsid w:val="00A43480"/>
    <w:rsid w:val="00A46FCF"/>
    <w:rsid w:val="00A601D5"/>
    <w:rsid w:val="00A75F29"/>
    <w:rsid w:val="00AA43F2"/>
    <w:rsid w:val="00AA7BD8"/>
    <w:rsid w:val="00AB1BF4"/>
    <w:rsid w:val="00AB47FD"/>
    <w:rsid w:val="00AC7734"/>
    <w:rsid w:val="00AD24CF"/>
    <w:rsid w:val="00AD6CFA"/>
    <w:rsid w:val="00AE66B7"/>
    <w:rsid w:val="00B37F1A"/>
    <w:rsid w:val="00B40CAF"/>
    <w:rsid w:val="00B46BCA"/>
    <w:rsid w:val="00B52CCC"/>
    <w:rsid w:val="00B66E73"/>
    <w:rsid w:val="00B67EB8"/>
    <w:rsid w:val="00B7486E"/>
    <w:rsid w:val="00B96E4E"/>
    <w:rsid w:val="00BA70BA"/>
    <w:rsid w:val="00BA7D67"/>
    <w:rsid w:val="00BD0A75"/>
    <w:rsid w:val="00BE634B"/>
    <w:rsid w:val="00BF4E2D"/>
    <w:rsid w:val="00C217F1"/>
    <w:rsid w:val="00C24C93"/>
    <w:rsid w:val="00C57018"/>
    <w:rsid w:val="00C60328"/>
    <w:rsid w:val="00C678B8"/>
    <w:rsid w:val="00C67904"/>
    <w:rsid w:val="00C71F22"/>
    <w:rsid w:val="00C720F3"/>
    <w:rsid w:val="00C82B11"/>
    <w:rsid w:val="00C94172"/>
    <w:rsid w:val="00C97BA0"/>
    <w:rsid w:val="00CA19F5"/>
    <w:rsid w:val="00CB5FAC"/>
    <w:rsid w:val="00CB6FC8"/>
    <w:rsid w:val="00CC608E"/>
    <w:rsid w:val="00CD6EE9"/>
    <w:rsid w:val="00D05DE3"/>
    <w:rsid w:val="00D23696"/>
    <w:rsid w:val="00D41F2A"/>
    <w:rsid w:val="00D474E2"/>
    <w:rsid w:val="00D47E2B"/>
    <w:rsid w:val="00D531BB"/>
    <w:rsid w:val="00D55D40"/>
    <w:rsid w:val="00D71164"/>
    <w:rsid w:val="00D8092B"/>
    <w:rsid w:val="00D826F5"/>
    <w:rsid w:val="00D920B0"/>
    <w:rsid w:val="00DB02D9"/>
    <w:rsid w:val="00DB05D8"/>
    <w:rsid w:val="00DB59F1"/>
    <w:rsid w:val="00DD1DF9"/>
    <w:rsid w:val="00DD4992"/>
    <w:rsid w:val="00DE5602"/>
    <w:rsid w:val="00DF09AA"/>
    <w:rsid w:val="00DF64DF"/>
    <w:rsid w:val="00DF78E0"/>
    <w:rsid w:val="00E01DD4"/>
    <w:rsid w:val="00E02303"/>
    <w:rsid w:val="00E1302F"/>
    <w:rsid w:val="00E13134"/>
    <w:rsid w:val="00E30024"/>
    <w:rsid w:val="00E46C70"/>
    <w:rsid w:val="00E47733"/>
    <w:rsid w:val="00E5011B"/>
    <w:rsid w:val="00E524CD"/>
    <w:rsid w:val="00E65FC6"/>
    <w:rsid w:val="00E7048E"/>
    <w:rsid w:val="00E72C07"/>
    <w:rsid w:val="00EA0B44"/>
    <w:rsid w:val="00EB1E9B"/>
    <w:rsid w:val="00EB2BDB"/>
    <w:rsid w:val="00EB4B20"/>
    <w:rsid w:val="00EB66C3"/>
    <w:rsid w:val="00EC44BC"/>
    <w:rsid w:val="00ED65A9"/>
    <w:rsid w:val="00ED683E"/>
    <w:rsid w:val="00EF3C50"/>
    <w:rsid w:val="00EF5210"/>
    <w:rsid w:val="00F10C18"/>
    <w:rsid w:val="00F256C4"/>
    <w:rsid w:val="00F26931"/>
    <w:rsid w:val="00F57CAE"/>
    <w:rsid w:val="00F669A4"/>
    <w:rsid w:val="00F713C4"/>
    <w:rsid w:val="00F73E78"/>
    <w:rsid w:val="00F74A1C"/>
    <w:rsid w:val="00F75202"/>
    <w:rsid w:val="00F855BA"/>
    <w:rsid w:val="00F86CD9"/>
    <w:rsid w:val="00F910DA"/>
    <w:rsid w:val="00FB4A99"/>
    <w:rsid w:val="00FC2914"/>
    <w:rsid w:val="00FD4C5C"/>
    <w:rsid w:val="00FF5C3F"/>
    <w:rsid w:val="011D4668"/>
    <w:rsid w:val="016E3F78"/>
    <w:rsid w:val="03101E00"/>
    <w:rsid w:val="0335375A"/>
    <w:rsid w:val="03420242"/>
    <w:rsid w:val="03803D68"/>
    <w:rsid w:val="039E6195"/>
    <w:rsid w:val="040E5D41"/>
    <w:rsid w:val="04816A57"/>
    <w:rsid w:val="051528EC"/>
    <w:rsid w:val="058A3D4B"/>
    <w:rsid w:val="05C978FD"/>
    <w:rsid w:val="0671705A"/>
    <w:rsid w:val="06732134"/>
    <w:rsid w:val="07463F1D"/>
    <w:rsid w:val="076E3AD0"/>
    <w:rsid w:val="078F2493"/>
    <w:rsid w:val="098C12D0"/>
    <w:rsid w:val="0A8F7AAE"/>
    <w:rsid w:val="0A941009"/>
    <w:rsid w:val="0B4A5469"/>
    <w:rsid w:val="0B6B3F04"/>
    <w:rsid w:val="0B6F69F0"/>
    <w:rsid w:val="0BA4215C"/>
    <w:rsid w:val="0C2028F2"/>
    <w:rsid w:val="0C645CC6"/>
    <w:rsid w:val="0C955B7E"/>
    <w:rsid w:val="0DCF4D92"/>
    <w:rsid w:val="0F78357E"/>
    <w:rsid w:val="10466E61"/>
    <w:rsid w:val="107F47F9"/>
    <w:rsid w:val="10DB3A4D"/>
    <w:rsid w:val="1202325C"/>
    <w:rsid w:val="122C1F6D"/>
    <w:rsid w:val="12E36BE9"/>
    <w:rsid w:val="13CA2B4E"/>
    <w:rsid w:val="13D06011"/>
    <w:rsid w:val="155344FA"/>
    <w:rsid w:val="156A62C2"/>
    <w:rsid w:val="15D942D4"/>
    <w:rsid w:val="161812A0"/>
    <w:rsid w:val="17413ABF"/>
    <w:rsid w:val="1A1667EC"/>
    <w:rsid w:val="1AD27C6F"/>
    <w:rsid w:val="1B112E96"/>
    <w:rsid w:val="1BD43F79"/>
    <w:rsid w:val="1C9B22E3"/>
    <w:rsid w:val="1D8D4321"/>
    <w:rsid w:val="1E504BF2"/>
    <w:rsid w:val="1F316F2E"/>
    <w:rsid w:val="1F762BAF"/>
    <w:rsid w:val="22463DDE"/>
    <w:rsid w:val="23991047"/>
    <w:rsid w:val="23B107E7"/>
    <w:rsid w:val="23B940CE"/>
    <w:rsid w:val="23CE7536"/>
    <w:rsid w:val="242F1397"/>
    <w:rsid w:val="24B65F0C"/>
    <w:rsid w:val="25B97332"/>
    <w:rsid w:val="2604714B"/>
    <w:rsid w:val="265439DF"/>
    <w:rsid w:val="26680B0E"/>
    <w:rsid w:val="276607BD"/>
    <w:rsid w:val="279C1387"/>
    <w:rsid w:val="27AD7B40"/>
    <w:rsid w:val="2958118C"/>
    <w:rsid w:val="2A85768A"/>
    <w:rsid w:val="2BC2788C"/>
    <w:rsid w:val="2D5072C9"/>
    <w:rsid w:val="2D810F9C"/>
    <w:rsid w:val="2ED43E1F"/>
    <w:rsid w:val="2EF61F5F"/>
    <w:rsid w:val="2F204D2F"/>
    <w:rsid w:val="30280776"/>
    <w:rsid w:val="30D8752B"/>
    <w:rsid w:val="30EE4C7F"/>
    <w:rsid w:val="315C2906"/>
    <w:rsid w:val="31D43E75"/>
    <w:rsid w:val="328C6939"/>
    <w:rsid w:val="33020A40"/>
    <w:rsid w:val="33D97D6F"/>
    <w:rsid w:val="347270AC"/>
    <w:rsid w:val="359C73A0"/>
    <w:rsid w:val="36160F00"/>
    <w:rsid w:val="36EC7367"/>
    <w:rsid w:val="37212A91"/>
    <w:rsid w:val="396C783F"/>
    <w:rsid w:val="397B56DC"/>
    <w:rsid w:val="39CE1AF2"/>
    <w:rsid w:val="39E74FFE"/>
    <w:rsid w:val="3A465B2C"/>
    <w:rsid w:val="3A5A5133"/>
    <w:rsid w:val="3BC02155"/>
    <w:rsid w:val="3BF7E6BF"/>
    <w:rsid w:val="3C2F4ACA"/>
    <w:rsid w:val="3C4538F8"/>
    <w:rsid w:val="3CA15E0C"/>
    <w:rsid w:val="3CD975B2"/>
    <w:rsid w:val="3D1D0DC6"/>
    <w:rsid w:val="3D7D1865"/>
    <w:rsid w:val="3DA60DBB"/>
    <w:rsid w:val="3E5D2197"/>
    <w:rsid w:val="3ED27DBD"/>
    <w:rsid w:val="3FF555A5"/>
    <w:rsid w:val="40504E9C"/>
    <w:rsid w:val="40AE0E64"/>
    <w:rsid w:val="4185378C"/>
    <w:rsid w:val="41DB68BC"/>
    <w:rsid w:val="433C7CB5"/>
    <w:rsid w:val="4364091E"/>
    <w:rsid w:val="45765175"/>
    <w:rsid w:val="45A06791"/>
    <w:rsid w:val="49ED0155"/>
    <w:rsid w:val="4A637832"/>
    <w:rsid w:val="4B9A22C6"/>
    <w:rsid w:val="4C951481"/>
    <w:rsid w:val="4D47054C"/>
    <w:rsid w:val="4EE5084A"/>
    <w:rsid w:val="4FDF2564"/>
    <w:rsid w:val="50571C9F"/>
    <w:rsid w:val="50AB003F"/>
    <w:rsid w:val="520C56AA"/>
    <w:rsid w:val="52252A23"/>
    <w:rsid w:val="52353A0A"/>
    <w:rsid w:val="52E8557B"/>
    <w:rsid w:val="53F24B50"/>
    <w:rsid w:val="54917CA5"/>
    <w:rsid w:val="560E14B9"/>
    <w:rsid w:val="565D1DDC"/>
    <w:rsid w:val="56CC27CD"/>
    <w:rsid w:val="57ED39D6"/>
    <w:rsid w:val="590A624B"/>
    <w:rsid w:val="59643501"/>
    <w:rsid w:val="597D2244"/>
    <w:rsid w:val="5A0D30B4"/>
    <w:rsid w:val="5B3429A4"/>
    <w:rsid w:val="5C146507"/>
    <w:rsid w:val="5C9D087A"/>
    <w:rsid w:val="5D35760E"/>
    <w:rsid w:val="5D5840D6"/>
    <w:rsid w:val="5F0A5047"/>
    <w:rsid w:val="604B77D4"/>
    <w:rsid w:val="619135C2"/>
    <w:rsid w:val="6228184E"/>
    <w:rsid w:val="62D04AAA"/>
    <w:rsid w:val="638402DA"/>
    <w:rsid w:val="63D148B0"/>
    <w:rsid w:val="64126E1E"/>
    <w:rsid w:val="64572560"/>
    <w:rsid w:val="645F6DF6"/>
    <w:rsid w:val="64DD2B4B"/>
    <w:rsid w:val="65BC5882"/>
    <w:rsid w:val="65F77B57"/>
    <w:rsid w:val="65FF3AA9"/>
    <w:rsid w:val="660F3D1F"/>
    <w:rsid w:val="66152ACA"/>
    <w:rsid w:val="66874860"/>
    <w:rsid w:val="68A522E2"/>
    <w:rsid w:val="68B44D24"/>
    <w:rsid w:val="69F97043"/>
    <w:rsid w:val="6B354A4D"/>
    <w:rsid w:val="6BDF6CC4"/>
    <w:rsid w:val="6E605222"/>
    <w:rsid w:val="6EC03E05"/>
    <w:rsid w:val="6FA411F6"/>
    <w:rsid w:val="6FF670D1"/>
    <w:rsid w:val="7033373D"/>
    <w:rsid w:val="707F70C6"/>
    <w:rsid w:val="70905002"/>
    <w:rsid w:val="70BB7C71"/>
    <w:rsid w:val="71B400B8"/>
    <w:rsid w:val="72EF1566"/>
    <w:rsid w:val="73412F53"/>
    <w:rsid w:val="742A7349"/>
    <w:rsid w:val="742F314F"/>
    <w:rsid w:val="748443E4"/>
    <w:rsid w:val="74F952E5"/>
    <w:rsid w:val="75483F2B"/>
    <w:rsid w:val="75834F63"/>
    <w:rsid w:val="75A628C9"/>
    <w:rsid w:val="75B36462"/>
    <w:rsid w:val="76B27622"/>
    <w:rsid w:val="780A371A"/>
    <w:rsid w:val="784521A0"/>
    <w:rsid w:val="788D1579"/>
    <w:rsid w:val="78F27591"/>
    <w:rsid w:val="7A0A3A7E"/>
    <w:rsid w:val="7A6F2A3A"/>
    <w:rsid w:val="7BBB15F0"/>
    <w:rsid w:val="7C07A0F5"/>
    <w:rsid w:val="7CD34358"/>
    <w:rsid w:val="7D460711"/>
    <w:rsid w:val="7D717185"/>
    <w:rsid w:val="7D7635FF"/>
    <w:rsid w:val="7D806E06"/>
    <w:rsid w:val="7E172803"/>
    <w:rsid w:val="7E9E66E6"/>
    <w:rsid w:val="7F207CC7"/>
    <w:rsid w:val="7F524030"/>
    <w:rsid w:val="7F75223E"/>
    <w:rsid w:val="ADB3EDF9"/>
    <w:rsid w:val="B59DAF38"/>
    <w:rsid w:val="BFBAAF01"/>
    <w:rsid w:val="D6FDEFC2"/>
    <w:rsid w:val="DFDE7D33"/>
    <w:rsid w:val="FD7EF2D2"/>
    <w:rsid w:val="FDF5A7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adjustRightInd w:val="0"/>
      <w:snapToGrid w:val="0"/>
    </w:pPr>
    <w:rPr>
      <w:rFonts w:ascii="Times New Roman" w:hAnsi="Times New Roman" w:eastAsia="Times New Roman" w:cs="Times New Roman"/>
      <w:sz w:val="24"/>
      <w:szCs w:val="24"/>
      <w:lang w:val="en-GB" w:eastAsia="zh-CN" w:bidi="ar-SA"/>
    </w:rPr>
  </w:style>
  <w:style w:type="paragraph" w:styleId="2">
    <w:name w:val="heading 3"/>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5"/>
    <w:semiHidden/>
    <w:unhideWhenUsed/>
    <w:qFormat/>
    <w:uiPriority w:val="99"/>
  </w:style>
  <w:style w:type="paragraph" w:styleId="4">
    <w:name w:val="Body Text"/>
    <w:basedOn w:val="1"/>
    <w:semiHidden/>
    <w:unhideWhenUsed/>
    <w:qFormat/>
    <w:uiPriority w:val="99"/>
    <w:pPr>
      <w:kinsoku w:val="0"/>
      <w:autoSpaceDE w:val="0"/>
      <w:autoSpaceDN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5">
    <w:name w:val="Balloon Text"/>
    <w:basedOn w:val="1"/>
    <w:link w:val="29"/>
    <w:semiHidden/>
    <w:unhideWhenUsed/>
    <w:qFormat/>
    <w:uiPriority w:val="99"/>
    <w:pPr>
      <w:ind w:firstLine="480" w:firstLineChars="200"/>
    </w:pPr>
    <w:rPr>
      <w:rFonts w:ascii="Times New Roman" w:hAnsi="Times New Roman" w:eastAsia="Times New Roman" w:cs="Times New Roman"/>
      <w:sz w:val="18"/>
      <w:szCs w:val="18"/>
    </w:rPr>
  </w:style>
  <w:style w:type="paragraph" w:styleId="6">
    <w:name w:val="footer"/>
    <w:basedOn w:val="1"/>
    <w:link w:val="19"/>
    <w:autoRedefine/>
    <w:unhideWhenUsed/>
    <w:qFormat/>
    <w:uiPriority w:val="99"/>
    <w:pPr>
      <w:widowControl w:val="0"/>
      <w:tabs>
        <w:tab w:val="center" w:pos="4153"/>
        <w:tab w:val="right" w:pos="8306"/>
      </w:tabs>
    </w:pPr>
    <w:rPr>
      <w:rFonts w:asciiTheme="minorHAnsi" w:hAnsiTheme="minorHAnsi" w:eastAsiaTheme="minorEastAsia" w:cstheme="minorBidi"/>
      <w:kern w:val="2"/>
      <w:sz w:val="18"/>
      <w:szCs w:val="18"/>
      <w:lang w:val="en-US"/>
    </w:rPr>
  </w:style>
  <w:style w:type="paragraph" w:styleId="7">
    <w:name w:val="header"/>
    <w:basedOn w:val="1"/>
    <w:link w:val="18"/>
    <w:autoRedefine/>
    <w:unhideWhenUsed/>
    <w:qFormat/>
    <w:uiPriority w:val="99"/>
    <w:pPr>
      <w:widowControl w:val="0"/>
      <w:pBdr>
        <w:bottom w:val="single" w:color="auto" w:sz="6" w:space="1"/>
      </w:pBdr>
      <w:tabs>
        <w:tab w:val="center" w:pos="4153"/>
        <w:tab w:val="right" w:pos="8306"/>
      </w:tabs>
    </w:pPr>
    <w:rPr>
      <w:rFonts w:asciiTheme="minorHAnsi" w:hAnsiTheme="minorHAnsi" w:eastAsiaTheme="minorEastAsia" w:cstheme="minorBidi"/>
      <w:kern w:val="2"/>
      <w:sz w:val="18"/>
      <w:szCs w:val="18"/>
      <w:lang w:val="en-US"/>
    </w:rPr>
  </w:style>
  <w:style w:type="paragraph" w:styleId="8">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napToGrid/>
      <w:jc w:val="left"/>
    </w:pPr>
    <w:rPr>
      <w:rFonts w:hint="eastAsia" w:ascii="宋体" w:hAnsi="宋体" w:eastAsia="宋体" w:cs="宋体"/>
      <w:kern w:val="0"/>
      <w:sz w:val="24"/>
      <w:szCs w:val="24"/>
      <w:lang w:val="en-US" w:eastAsia="zh-CN" w:bidi="ar"/>
    </w:rPr>
  </w:style>
  <w:style w:type="paragraph" w:styleId="9">
    <w:name w:val="Normal (Web)"/>
    <w:basedOn w:val="1"/>
    <w:autoRedefine/>
    <w:unhideWhenUsed/>
    <w:qFormat/>
    <w:uiPriority w:val="99"/>
    <w:pPr>
      <w:spacing w:before="100" w:beforeAutospacing="1" w:after="100" w:afterAutospacing="1"/>
    </w:pPr>
    <w:rPr>
      <w:rFonts w:ascii="宋体" w:hAnsi="宋体" w:eastAsia="宋体" w:cs="宋体"/>
    </w:rPr>
  </w:style>
  <w:style w:type="paragraph" w:styleId="10">
    <w:name w:val="annotation subject"/>
    <w:basedOn w:val="3"/>
    <w:next w:val="3"/>
    <w:link w:val="26"/>
    <w:semiHidden/>
    <w:unhideWhenUsed/>
    <w:qFormat/>
    <w:uiPriority w:val="99"/>
    <w:rPr>
      <w:b/>
      <w:bCs/>
    </w:rPr>
  </w:style>
  <w:style w:type="character" w:styleId="13">
    <w:name w:val="Strong"/>
    <w:autoRedefine/>
    <w:qFormat/>
    <w:uiPriority w:val="0"/>
    <w:rPr>
      <w:b/>
      <w:bCs/>
    </w:rPr>
  </w:style>
  <w:style w:type="character" w:styleId="14">
    <w:name w:val="FollowedHyperlink"/>
    <w:basedOn w:val="12"/>
    <w:autoRedefine/>
    <w:semiHidden/>
    <w:unhideWhenUsed/>
    <w:qFormat/>
    <w:uiPriority w:val="99"/>
    <w:rPr>
      <w:color w:val="954F72" w:themeColor="followedHyperlink"/>
      <w:u w:val="single"/>
      <w14:textFill>
        <w14:solidFill>
          <w14:schemeClr w14:val="folHlink"/>
        </w14:solidFill>
      </w14:textFill>
    </w:rPr>
  </w:style>
  <w:style w:type="character" w:styleId="15">
    <w:name w:val="Emphasis"/>
    <w:basedOn w:val="12"/>
    <w:autoRedefine/>
    <w:qFormat/>
    <w:uiPriority w:val="20"/>
    <w:rPr>
      <w:i/>
      <w:iCs/>
    </w:rPr>
  </w:style>
  <w:style w:type="character" w:styleId="16">
    <w:name w:val="Hyperlink"/>
    <w:basedOn w:val="12"/>
    <w:autoRedefine/>
    <w:unhideWhenUsed/>
    <w:qFormat/>
    <w:uiPriority w:val="99"/>
    <w:rPr>
      <w:color w:val="0563C1" w:themeColor="hyperlink"/>
      <w:u w:val="single"/>
      <w14:textFill>
        <w14:solidFill>
          <w14:schemeClr w14:val="hlink"/>
        </w14:solidFill>
      </w14:textFill>
    </w:rPr>
  </w:style>
  <w:style w:type="character" w:styleId="17">
    <w:name w:val="annotation reference"/>
    <w:basedOn w:val="12"/>
    <w:semiHidden/>
    <w:unhideWhenUsed/>
    <w:qFormat/>
    <w:uiPriority w:val="99"/>
    <w:rPr>
      <w:rFonts w:ascii="Times New Roman" w:hAnsi="Times New Roman" w:eastAsia="宋体" w:cs="Times New Roman"/>
      <w:sz w:val="21"/>
      <w:szCs w:val="21"/>
    </w:rPr>
  </w:style>
  <w:style w:type="character" w:customStyle="1" w:styleId="18">
    <w:name w:val="页眉 字符"/>
    <w:basedOn w:val="12"/>
    <w:link w:val="7"/>
    <w:autoRedefine/>
    <w:qFormat/>
    <w:uiPriority w:val="99"/>
    <w:rPr>
      <w:sz w:val="18"/>
      <w:szCs w:val="18"/>
    </w:rPr>
  </w:style>
  <w:style w:type="character" w:customStyle="1" w:styleId="19">
    <w:name w:val="页脚 字符"/>
    <w:basedOn w:val="12"/>
    <w:link w:val="6"/>
    <w:autoRedefine/>
    <w:qFormat/>
    <w:uiPriority w:val="99"/>
    <w:rPr>
      <w:sz w:val="18"/>
      <w:szCs w:val="18"/>
    </w:rPr>
  </w:style>
  <w:style w:type="character" w:customStyle="1" w:styleId="20">
    <w:name w:val="未处理的提及1"/>
    <w:basedOn w:val="12"/>
    <w:autoRedefine/>
    <w:semiHidden/>
    <w:unhideWhenUsed/>
    <w:qFormat/>
    <w:uiPriority w:val="99"/>
    <w:rPr>
      <w:color w:val="605E5C"/>
      <w:shd w:val="clear" w:color="auto" w:fill="E1DFDD"/>
    </w:rPr>
  </w:style>
  <w:style w:type="paragraph" w:styleId="21">
    <w:name w:val="List Paragraph"/>
    <w:basedOn w:val="1"/>
    <w:autoRedefine/>
    <w:qFormat/>
    <w:uiPriority w:val="34"/>
    <w:pPr>
      <w:ind w:firstLine="420" w:firstLineChars="200"/>
    </w:pPr>
  </w:style>
  <w:style w:type="character" w:customStyle="1" w:styleId="22">
    <w:name w:val="未处理的提及2"/>
    <w:basedOn w:val="12"/>
    <w:autoRedefine/>
    <w:semiHidden/>
    <w:unhideWhenUsed/>
    <w:qFormat/>
    <w:uiPriority w:val="99"/>
    <w:rPr>
      <w:color w:val="605E5C"/>
      <w:shd w:val="clear" w:color="auto" w:fill="E1DFDD"/>
    </w:rPr>
  </w:style>
  <w:style w:type="character" w:customStyle="1" w:styleId="23">
    <w:name w:val="未处理的提及3"/>
    <w:basedOn w:val="12"/>
    <w:autoRedefine/>
    <w:semiHidden/>
    <w:unhideWhenUsed/>
    <w:qFormat/>
    <w:uiPriority w:val="99"/>
    <w:rPr>
      <w:color w:val="605E5C"/>
      <w:shd w:val="clear" w:color="auto" w:fill="E1DFDD"/>
    </w:rPr>
  </w:style>
  <w:style w:type="character" w:customStyle="1" w:styleId="24">
    <w:name w:val="Unresolved Mention"/>
    <w:basedOn w:val="12"/>
    <w:autoRedefine/>
    <w:semiHidden/>
    <w:unhideWhenUsed/>
    <w:qFormat/>
    <w:uiPriority w:val="99"/>
    <w:rPr>
      <w:rFonts w:ascii="Times New Roman" w:hAnsi="Times New Roman" w:eastAsia="宋体" w:cs="Times New Roman"/>
      <w:color w:val="605E5C"/>
      <w:shd w:val="clear" w:color="auto" w:fill="E1DFDD"/>
    </w:rPr>
  </w:style>
  <w:style w:type="character" w:customStyle="1" w:styleId="25">
    <w:name w:val="批注文字 字符"/>
    <w:basedOn w:val="12"/>
    <w:link w:val="3"/>
    <w:qFormat/>
    <w:uiPriority w:val="99"/>
    <w:rPr>
      <w:rFonts w:ascii="Times New Roman" w:hAnsi="Times New Roman" w:eastAsia="宋体" w:cs="Times New Roman"/>
    </w:rPr>
  </w:style>
  <w:style w:type="character" w:customStyle="1" w:styleId="26">
    <w:name w:val="批注主题 字符"/>
    <w:basedOn w:val="25"/>
    <w:link w:val="10"/>
    <w:semiHidden/>
    <w:qFormat/>
    <w:uiPriority w:val="99"/>
    <w:rPr>
      <w:b/>
      <w:bCs/>
    </w:rPr>
  </w:style>
  <w:style w:type="table" w:customStyle="1" w:styleId="27">
    <w:name w:val="Table Normal"/>
    <w:semiHidden/>
    <w:unhideWhenUsed/>
    <w:qFormat/>
    <w:uiPriority w:val="0"/>
    <w:tblPr>
      <w:tblCellMar>
        <w:top w:w="0" w:type="dxa"/>
        <w:left w:w="0" w:type="dxa"/>
        <w:bottom w:w="0" w:type="dxa"/>
        <w:right w:w="0" w:type="dxa"/>
      </w:tblCellMar>
    </w:tblPr>
  </w:style>
  <w:style w:type="paragraph" w:customStyle="1" w:styleId="28">
    <w:name w:val="Table Text"/>
    <w:basedOn w:val="1"/>
    <w:semiHidden/>
    <w:qFormat/>
    <w:uiPriority w:val="0"/>
    <w:pPr>
      <w:kinsoku w:val="0"/>
      <w:autoSpaceDE w:val="0"/>
      <w:autoSpaceDN w:val="0"/>
      <w:spacing w:line="240" w:lineRule="auto"/>
      <w:jc w:val="left"/>
      <w:textAlignment w:val="baseline"/>
    </w:pPr>
    <w:rPr>
      <w:rFonts w:ascii="宋体" w:hAnsi="宋体" w:eastAsia="宋体" w:cs="宋体"/>
      <w:snapToGrid w:val="0"/>
      <w:color w:val="000000"/>
      <w:kern w:val="0"/>
      <w:sz w:val="25"/>
      <w:szCs w:val="25"/>
      <w:lang w:val="en-US" w:eastAsia="en-US" w:bidi="ar-SA"/>
    </w:rPr>
  </w:style>
  <w:style w:type="character" w:customStyle="1" w:styleId="29">
    <w:name w:val="批注框文本 字符"/>
    <w:basedOn w:val="12"/>
    <w:link w:val="5"/>
    <w:semiHidden/>
    <w:qFormat/>
    <w:uiPriority w:val="99"/>
    <w:rPr>
      <w:rFonts w:ascii="Times New Roman" w:hAnsi="Times New Roman" w:eastAsia="宋体" w:cs="Times New Roman"/>
      <w:sz w:val="18"/>
      <w:szCs w:val="18"/>
    </w:rPr>
  </w:style>
  <w:style w:type="paragraph" w:customStyle="1" w:styleId="30">
    <w:name w:val="Default"/>
    <w:qFormat/>
    <w:uiPriority w:val="0"/>
    <w:pPr>
      <w:widowControl w:val="0"/>
      <w:autoSpaceDE w:val="0"/>
      <w:autoSpaceDN w:val="0"/>
      <w:adjustRightInd w:val="0"/>
    </w:pPr>
    <w:rPr>
      <w:rFonts w:ascii="微软雅黑" w:hAnsi="Calibri" w:eastAsia="微软雅黑" w:cs="微软雅黑"/>
      <w:color w:val="000000"/>
      <w:sz w:val="24"/>
      <w:szCs w:val="24"/>
      <w:lang w:val="en-US" w:eastAsia="zh-CN" w:bidi="ar-SA"/>
    </w:rPr>
  </w:style>
  <w:style w:type="character" w:customStyle="1" w:styleId="31">
    <w:name w:val="font11"/>
    <w:basedOn w:val="12"/>
    <w:qFormat/>
    <w:uiPriority w:val="0"/>
    <w:rPr>
      <w:rFonts w:hint="eastAsia" w:ascii="仿宋_GB2312" w:eastAsia="仿宋_GB2312" w:cs="仿宋_GB2312"/>
      <w:color w:val="000000"/>
      <w:sz w:val="24"/>
      <w:szCs w:val="24"/>
      <w:u w:val="none"/>
    </w:rPr>
  </w:style>
  <w:style w:type="character" w:customStyle="1" w:styleId="32">
    <w:name w:val="font21"/>
    <w:basedOn w:val="12"/>
    <w:qFormat/>
    <w:uiPriority w:val="0"/>
    <w:rPr>
      <w:rFonts w:ascii="MS Gothic" w:hAnsi="MS Gothic" w:eastAsia="MS Gothic" w:cs="MS Gothic"/>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1.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fe76dd3f-8ecf-4264-9322-99c8cd796bf9</errorID>
      <errorWord>自闭症</errorWord>
      <group>L1_Knowledge</group>
      <groupName>知识性问题</groupName>
      <ability>L2_Term</ability>
      <abilityName>专业术语</abilityName>
      <candidateList>
        <item>孤独症</item>
      </candidateList>
      <explain>医学名词[自闭症]为不规范表述或旧称，其规范书面表述为[孤独症]。</explain>
      <paraID>21970198</paraID>
      <start>12</start>
      <end>15</end>
      <status>unmodified</status>
      <modifiedWord/>
      <trackRevisions>false</trackRevisions>
    </reviewItem>
    <reviewItem>
      <errorID>f9d536b5-affa-4917-9e37-4fad4248089d</errorID>
      <errorWord>“双碳”战略</errorWord>
      <group>L1_Word</group>
      <groupName>字词问题</groupName>
      <ability>L2_Typo</ability>
      <abilityName>字词错误</abilityName>
      <candidateList>
        <item>“双碳”目标</item>
      </candidateList>
      <explain/>
      <paraID>45A25DC0</paraID>
      <start>2</start>
      <end>8</end>
      <status>unmodified</status>
      <modifiedWord/>
      <trackRevisions>false</trackRevisions>
    </reviewItem>
    <reviewItem>
      <errorID>90d5dd92-3f1b-4eea-be15-92b2a38a6c29</errorID>
      <errorWord>是否</errorWord>
      <group>L1_Word</group>
      <groupName>字词问题</groupName>
      <ability>L2_Typo</ability>
      <abilityName>字词错误</abilityName>
      <candidateList>
        <item>，</item>
      </candidateList>
      <explain/>
      <paraID>6824EA80</paraID>
      <start>13</start>
      <end>15</end>
      <status>unmodified</status>
      <modifiedWord/>
      <trackRevisions>false</trackRevisions>
    </reviewItem>
    <reviewItem>
      <errorID>97f3126c-4285-44e7-a4ad-5711ceed4980</errorID>
      <errorWord>呈现出</errorWord>
      <group>L1_Grammar</group>
      <groupName>语法问题</groupName>
      <ability>L2_Grammar</ability>
      <abilityName>语法错误</abilityName>
      <candidateList>
        <item>是否呈现出</item>
      </candidateList>
      <explain/>
      <paraID>6824EA80</paraID>
      <start>24</start>
      <end>27</end>
      <status>unmodified</status>
      <modifiedWord/>
      <trackRevisions>false</trackRevisions>
    </reviewItem>
    <reviewItem>
      <errorID>c030f12a-d93d-494a-bbfb-dfe17260462f</errorID>
      <errorWord>底主观</errorWord>
      <group>L1_Word</group>
      <groupName>字词问题</groupName>
      <ability>L2_Variant</ability>
      <abilityName>异形词</abilityName>
      <candidateList>
        <item>的主观</item>
      </candidateList>
      <explain>词汇[底主观]的规范词形写作[的主观]。</explain>
      <paraID>64B38813</paraID>
      <start>18</start>
      <end>21</end>
      <status>unmodified</status>
      <modifiedWord/>
      <trackRevisions>false</trackRevisions>
    </reviewItem>
    <reviewItem>
      <errorID>d14ebc5e-84d4-4eb3-9af0-235ebaac987b</errorID>
      <errorWord>，</errorWord>
      <group>L1_Word</group>
      <groupName>字词问题</groupName>
      <ability>L2_Typo</ability>
      <abilityName>字词错误</abilityName>
      <candidateList>
        <item>，具</item>
      </candidateList>
      <explain/>
      <paraID>1B14DD7F</paraID>
      <start>8</start>
      <end>9</end>
      <status>unmodified</status>
      <modifiedWord/>
      <trackRevisions>false</trackRevisions>
    </reviewItem>
    <reviewItem>
      <errorID>0dd4ebbf-40d0-4601-afe7-2002f7212f39</errorID>
      <errorWord>需具备</errorWord>
      <group>L1_Word</group>
      <groupName>字词问题</groupName>
      <ability>L2_Typo</ability>
      <abilityName>字词错误</abilityName>
      <candidateList>
        <item>须具备</item>
      </candidateList>
      <explain/>
      <paraID> A81FFE5</paraID>
      <start>5</start>
      <end>8</end>
      <status>unmodified</status>
      <modifiedWord/>
      <trackRevisions>false</trackRevisions>
    </reviewItem>
    <reviewItem>
      <errorID>1e1c36ef-3e75-4a75-b2db-0e5eb2f8e45d</errorID>
      <errorWord>详实</errorWord>
      <group>L1_Word</group>
      <groupName>字词问题</groupName>
      <ability>L2_Typo</ability>
      <abilityName>字词错误</abilityName>
      <candidateList>
        <item>翔实</item>
      </candidateList>
      <explain/>
      <paraID>416C15AD</paraID>
      <start>8</start>
      <end>10</end>
      <status>unmodified</status>
      <modifiedWord/>
      <trackRevisions>false</trackRevisions>
    </reviewItem>
    <reviewItem>
      <errorID>b87e0c2b-c9dd-4602-a221-32a72c051a8a</errorID>
      <errorWord>题目的</errorWord>
      <group>L1_Word</group>
      <groupName>字词问题</groupName>
      <ability>L2_Typo</ability>
      <abilityName>字词错误</abilityName>
      <candidateList>
        <item>题目</item>
      </candidateList>
      <explain/>
      <paraID>717C7778</paraID>
      <start>52</start>
      <end>55</end>
      <status>unmodified</status>
      <modifiedWord/>
      <trackRevisions>false</trackRevisions>
    </reviewItem>
    <reviewItem>
      <errorID>0a866b30-2c83-4f5d-8cff-3da3164db166</errorID>
      <errorWord>进行</errorWord>
      <group>L1_Grammar</group>
      <groupName>语法问题</groupName>
      <ability>L2_Grammar</ability>
      <abilityName>语法错误</abilityName>
      <candidateList>
        <item>研究进行</item>
      </candidateList>
      <explain/>
      <paraID>717C7778</paraID>
      <start>55</start>
      <end>57</end>
      <status>unmodified</status>
      <modifiedWord/>
      <trackRevisions>false</trackRevisions>
    </reviewItem>
    <reviewItem>
      <errorID>a0d399cf-df1f-4995-86a0-4094bc10dd98</errorID>
      <errorWord>自闭症</errorWord>
      <group>L1_Knowledge</group>
      <groupName>知识性问题</groupName>
      <ability>L2_Term</ability>
      <abilityName>专业术语</abilityName>
      <candidateList>
        <item>孤独症</item>
      </candidateList>
      <explain>医学名词[自闭症]为不规范表述或旧称，其规范书面表述为[孤独症]。</explain>
      <paraID>64B1399E</paraID>
      <start>12</start>
      <end>15</end>
      <status>unmodified</status>
      <modifiedWord/>
      <trackRevisions>false</trackRevisions>
    </reviewItem>
    <reviewItem>
      <errorID>d3f36f58-5748-487d-a768-209a9766a01c</errorID>
      <errorWord>自闭症</errorWord>
      <group>L1_Knowledge</group>
      <groupName>知识性问题</groupName>
      <ability>L2_Term</ability>
      <abilityName>专业术语</abilityName>
      <candidateList>
        <item>孤独症</item>
      </candidateList>
      <explain>医学名词[自闭症]为不规范表述或旧称，其规范书面表述为[孤独症]。</explain>
      <paraID>4377FFF5</paraID>
      <start>0</start>
      <end>3</end>
      <status>unmodified</status>
      <modifiedWord/>
      <trackRevisions>false</trackRevisions>
    </reviewItem>
    <reviewItem>
      <errorID>98cc9ad8-f416-48d8-9377-6e3a8fdae38d</errorID>
      <errorWord>ASD</errorWord>
      <group>L1_Punc</group>
      <groupName>标点问题</groupName>
      <ability>L2_Punc</ability>
      <abilityName>标点符号检查</abilityName>
      <candidateList>
        <item>自闭症谱系障碍（ASD）</item>
      </candidateList>
      <explain/>
      <paraID>254E1287</paraID>
      <start>44</start>
      <end>47</end>
      <status>unmodified</status>
      <modifiedWord/>
      <trackRevisions>false</trackRevisions>
    </reviewItem>
    <reviewItem>
      <errorID>08aa0d62-e1f6-4342-9b03-283c7c698d6b</errorID>
      <errorWord>ASD</errorWord>
      <group>L1_Punc</group>
      <groupName>标点问题</groupName>
      <ability>L2_Punc</ability>
      <abilityName>标点符号检查</abilityName>
      <candidateList>
        <item>自闭症谱系障碍（ASD）</item>
      </candidateList>
      <explain/>
      <paraID>7009CE46</paraID>
      <start>4</start>
      <end>7</end>
      <status>unmodified</status>
      <modifiedWord/>
      <trackRevisions>false</trackRevisions>
    </reviewItem>
    <reviewItem>
      <errorID>ef60aa85-996b-4599-9fe0-c8e7e992736d</errorID>
      <errorWord>资 源</errorWord>
      <group>L1_Word</group>
      <groupName>字词问题</groupName>
      <ability>L2_Typo</ability>
      <abilityName>字词错误</abilityName>
      <candidateList>
        <item>资源</item>
      </candidateList>
      <explain/>
      <paraID>50590E5A</paraID>
      <start>50</start>
      <end>53</end>
      <status>unmodified</status>
      <modifiedWord/>
      <trackRevisions>false</trackRevisions>
    </reviewItem>
    <reviewItem>
      <errorID>ecf61709-91f3-414e-80d0-0ad1edf62a20</errorID>
      <errorWord>作品</errorWord>
      <group>L1_Punc</group>
      <groupName>标点问题</groupName>
      <ability>L2_Punc</ability>
      <abilityName>标点符号检查</abilityName>
      <candidateList>
        <item>，作品</item>
      </candidateList>
      <explain/>
      <paraID>1DE5F503</paraID>
      <start>6</start>
      <end>8</end>
      <status>unmodified</status>
      <modifiedWord/>
      <trackRevisions>false</trackRevisions>
    </reviewItem>
    <reviewItem>
      <errorID>80efb758-a098-4583-8222-4ad2471e8bc4</errorID>
      <errorWord>.</errorWord>
      <group>L1_Format</group>
      <groupName>格式问题</groupName>
      <ability>L2_HalfPunc</ability>
      <abilityName>全半角检查</abilityName>
      <candidateList>
        <item>。</item>
      </candidateList>
      <explain>文本全半角错误。</explain>
      <paraID>7325A92A</paraID>
      <start>10</start>
      <end>11</end>
      <status>unmodified</status>
      <modifiedWord/>
      <trackRevisions>false</trackRevisions>
    </reviewItem>
    <reviewItem>
      <errorID>5b7f90ed-2682-41bb-9c77-a190463703cc</errorID>
      <errorWord>发送到</errorWord>
      <group>L1_Word</group>
      <groupName>字词问题</groupName>
      <ability>L2_Typo</ability>
      <abilityName>字词错误</abilityName>
      <candidateList>
        <item>发送至</item>
      </candidateList>
      <explain>存在字形相近字词的误用。</explain>
      <paraID>7325A92A</paraID>
      <start>87</start>
      <end>90</end>
      <status>unmodified</status>
      <modifiedWord/>
      <trackRevisions>false</trackRevisions>
    </reviewItem>
    <reviewItem>
      <errorID>dc779959-84bb-43ce-a4fe-7d767502ae83</errorID>
      <errorWord>(</errorWord>
      <group>L1_Format</group>
      <groupName>格式问题</groupName>
      <ability>L2_HalfPunc</ability>
      <abilityName>全半角检查</abilityName>
      <candidateList>
        <item>（</item>
      </candidateList>
      <explain>文本全半角错误。</explain>
      <paraID>7325A92A</paraID>
      <start>109</start>
      <end>110</end>
      <status>modified</status>
      <modifiedWord>（</modifiedWord>
      <trackRevisions>false</trackRevisions>
    </reviewItem>
    <reviewItem>
      <errorID>cc982416-d986-40da-b35c-146dbd22e7a2</errorID>
      <errorWord>)</errorWord>
      <group>L1_Format</group>
      <groupName>格式问题</groupName>
      <ability>L2_HalfPunc</ability>
      <abilityName>全半角检查</abilityName>
      <candidateList>
        <item>）</item>
      </candidateList>
      <explain>文本全半角错误。</explain>
      <paraID>7325A92A</paraID>
      <start>139</start>
      <end>140</end>
      <status>modified</status>
      <modifiedWord>）</modifiedWord>
      <trackRevisions>false</trackRevisions>
    </reviewItem>
    <reviewItem>
      <errorID>c6a8d198-8d43-46fd-99b2-43c90efeeb6e</errorID>
      <errorWord> </errorWord>
      <group>L1_Punc</group>
      <groupName>标点问题</groupName>
      <ability>L2_Punc</ability>
      <abilityName>标点符号检查</abilityName>
      <candidateList>
        <item/>
      </candidateList>
      <explain>此处空格冗余，建议删除。</explain>
      <paraID>5C22FF93</paraID>
      <start>26</start>
      <end>26</end>
      <status>modified</status>
      <modifiedWord/>
      <trackRevisions>false</trackRevisions>
    </reviewItem>
    <reviewItem>
      <errorID>191ab854-d160-4e63-9abf-31512980bf69</errorID>
      <errorWord> 3 个</errorWord>
      <group>L1_Word</group>
      <groupName>字词问题</groupName>
      <ability>L2_Typo</ability>
      <abilityName>字词错误</abilityName>
      <candidateList>
        <item>这三个</item>
      </candidateList>
      <explain/>
      <paraID>5C22FF93</paraID>
      <start>37</start>
      <end>41</end>
      <status>unmodified</status>
      <modifiedWord/>
      <trackRevisions>false</trackRevisions>
    </reviewItem>
    <reviewItem>
      <errorID>d94935b8-dab6-451d-8a94-84934d2052f1</errorID>
      <errorWord>清晰</errorWord>
      <group>L1_Punc</group>
      <groupName>标点问题</groupName>
      <ability>L2_Punc</ability>
      <abilityName>标点符号检查</abilityName>
      <candidateList>
        <item>、清晰</item>
      </candidateList>
      <explain/>
      <paraID>46137F15</paraID>
      <start>15</start>
      <end>17</end>
      <status>unmodified</status>
      <modifiedWord/>
      <trackRevisions>false</trackRevisions>
    </reviewItem>
    <reviewItem>
      <errorID>f0f34cac-70cb-4ef0-a378-faaebd181749</errorID>
      <errorWord>可行性</errorWord>
      <group>L1_Word</group>
      <groupName>字词问题</groupName>
      <ability>L2_Typo</ability>
      <abilityName>字词错误</abilityName>
      <candidateList>
        <item>的可行性</item>
      </candidateList>
      <explain/>
      <paraID>  4D4631</paraID>
      <start>17</start>
      <end>20</end>
      <status>unmodified</status>
      <modifiedWord/>
      <trackRevisions>false</trackRevisions>
    </reviewItem>
    <reviewItem>
      <errorID>773217e8-679f-4c96-b320-afc3dedc5124</errorID>
      <errorWord>（15 分）。</errorWord>
      <group>L1_Word</group>
      <groupName>字词问题</groupName>
      <ability>L2_Typo</ability>
      <abilityName>字词错误</abilityName>
      <candidateList>
        <item>。（15 分）</item>
      </candidateList>
      <explain/>
      <paraID>32EB1884</paraID>
      <start>15</start>
      <end>22</end>
      <status>unmodified</status>
      <modifiedWord/>
      <trackRevisions>false</trackRevisions>
    </reviewItem>
    <reviewItem>
      <errorID>4379c36d-eaf8-4496-8de0-d95f95e3829d</errorID>
      <errorWord>，</errorWord>
      <group>L1_Punc</group>
      <groupName>标点问题</groupName>
      <ability>L2_Punc</ability>
      <abilityName>标点符号检查</abilityName>
      <candidateList>
        <item/>
      </candidateList>
      <explain/>
      <paraID>6C9F6597</paraID>
      <start>14</start>
      <end>14</end>
      <status>modified</status>
      <modifiedWord/>
      <trackRevisions>false</trackRevisions>
    </reviewItem>
    <reviewItem>
      <errorID>f68c4529-a1ac-45a6-88bc-6ac5fb373514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3C929BDE</paraID>
      <start>0</start>
      <end>2</end>
      <status>modified</status>
      <modifiedWord>1.</modifiedWord>
      <trackRevisions>false</trackRevisions>
    </reviewItem>
    <reviewItem>
      <errorID>0b172ea0-f248-497c-87a4-2532114ed809</errorID>
      <errorWord>协作</errorWord>
      <group>L1_Word</group>
      <groupName>字词问题</groupName>
      <ability>L2_Typo</ability>
      <abilityName>字词错误</abilityName>
      <candidateList>
        <item>协助</item>
      </candidateList>
      <explain/>
      <paraID>3C929BDE</paraID>
      <start>10</start>
      <end>12</end>
      <status>unmodified</status>
      <modifiedWord/>
      <trackRevisions>false</trackRevisions>
    </reviewItem>
    <reviewItem>
      <errorID>6f2b6415-d106-4c59-be93-4a69ddc125f1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5133E8AA</paraID>
      <start>0</start>
      <end>2</end>
      <status>modified</status>
      <modifiedWord>2.</modifiedWord>
      <trackRevisions>false</trackRevisions>
    </reviewItem>
    <reviewItem>
      <errorID>36092b5c-3f7b-4493-9b31-ebc798f724db</errorID>
      <errorWord>。。</errorWord>
      <group>L1_Punc</group>
      <groupName>标点问题</groupName>
      <ability>L2_Punc</ability>
      <abilityName>标点符号检查</abilityName>
      <candidateList>
        <item>。</item>
      </candidateList>
      <explain/>
      <paraID> FB74D0D</paraID>
      <start>218</start>
      <end>219</end>
      <status>modified</status>
      <modifiedWord>。</modifiedWord>
      <trackRevisions>false</trackRevisions>
    </reviewItem>
    <reviewItem>
      <errorID>c5400b88-2680-4a82-aa44-abc987563fbd</errorID>
      <errorWord>亟需</errorWord>
      <group>L1_Word</group>
      <groupName>字词问题</groupName>
      <ability>L2_Typo</ability>
      <abilityName>字词错误</abilityName>
      <candidateList>
        <item>亟须</item>
      </candidateList>
      <explain/>
      <paraID>75DBAC23</paraID>
      <start>35</start>
      <end>37</end>
      <status>unmodified</status>
      <modifiedWord/>
      <trackRevisions>false</trackRevisions>
    </reviewItem>
    <reviewItem>
      <errorID>e1fba289-06e3-45db-a017-d0bb7ba29289</errorID>
      <errorWord>成为了</errorWord>
      <group>L1_Word</group>
      <groupName>字词问题</groupName>
      <ability>L2_Typo</ability>
      <abilityName>字词错误</abilityName>
      <candidateList>
        <item>成为</item>
      </candidateList>
      <explain>〈动〉变成：～先进工作者。</explain>
      <paraID>75DBAC23</paraID>
      <start>72</start>
      <end>75</end>
      <status>unmodified</status>
      <modifiedWord/>
      <trackRevisions>false</trackRevisions>
    </reviewItem>
    <reviewItem>
      <errorID>cf174e86-5e7b-4322-a57b-c93c1db39d4b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4D31AAFC</paraID>
      <start>0</start>
      <end>2</end>
      <status>modified</status>
      <modifiedWord>1.</modifiedWord>
      <trackRevisions>false</trackRevisions>
    </reviewItem>
    <reviewItem>
      <errorID>d30a8270-b242-4542-b46c-790fccc27b09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5796D7A</paraID>
      <start>0</start>
      <end>2</end>
      <status>modified</status>
      <modifiedWord>2.</modifiedWord>
      <trackRevisions>false</trackRevisions>
    </reviewItem>
    <reviewItem>
      <errorID>f5a93230-c18c-4f14-84ba-d6777a4a58e2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531F4C0C</paraID>
      <start>0</start>
      <end>2</end>
      <status>modified</status>
      <modifiedWord>1.</modifiedWord>
      <trackRevisions>false</trackRevisions>
    </reviewItem>
    <reviewItem>
      <errorID>9c8d7247-348a-4137-8fa9-93017d23c6b2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72B556A7</paraID>
      <start>0</start>
      <end>2</end>
      <status>modified</status>
      <modifiedWord>2.</modifiedWord>
      <trackRevisions>false</trackRevisions>
    </reviewItem>
    <reviewItem>
      <errorID>038d4567-62fe-4c4a-a914-1e4b1fd86a03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31CA2CE5</paraID>
      <start>0</start>
      <end>2</end>
      <status>modified</status>
      <modifiedWord>3.</modifiedWord>
      <trackRevisions>false</trackRevisions>
    </reviewItem>
    <reviewItem>
      <errorID>793f4fb8-456e-4a4d-9536-2a085577bf35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34291A25</paraID>
      <start>0</start>
      <end>2</end>
      <status>modified</status>
      <modifiedWord>4.</modifiedWord>
      <trackRevisions>false</trackRevisions>
    </reviewItem>
    <reviewItem>
      <errorID>12ea7866-5074-44ea-ac81-4ef93d28c89d</errorID>
      <errorWord>和</errorWord>
      <group>L1_Word</group>
      <groupName>字词问题</groupName>
      <ability>L2_Typo</ability>
      <abilityName>字词错误</abilityName>
      <candidateList>
        <item>或</item>
      </candidateList>
      <explain/>
      <paraID>34291A25</paraID>
      <start>45</start>
      <end>46</end>
      <status>unmodified</status>
      <modifiedWord/>
      <trackRevisions>false</trackRevisions>
    </reviewItem>
    <reviewItem>
      <errorID>33270ebc-1457-430e-8d19-1c2d5a4d23b5</errorID>
      <errorWord>获奖作品</errorWord>
      <group>L1_Grammar</group>
      <groupName>语法问题</groupName>
      <ability>L2_Grammar</ability>
      <abilityName>语法错误</abilityName>
      <candidateList>
        <item>奖项</item>
      </candidateList>
      <explain/>
      <paraID>34291A25</paraID>
      <start>53</start>
      <end>57</end>
      <status>unmodified</status>
      <modifiedWord/>
      <trackRevisions>false</trackRevisions>
    </reviewItem>
    <reviewItem>
      <errorID>c0458e46-1a1c-48dc-b65e-89c2a5666ebe</errorID>
      <errorWord>、</errorWord>
      <group>L1_Punc</group>
      <groupName>标点问题</groupName>
      <ability>L2_Punc</ability>
      <abilityName>标点符号检查</abilityName>
      <candidateList>
        <item>，</item>
      </candidateList>
      <explain/>
      <paraID>46A9842B</paraID>
      <start>58</start>
      <end>59</end>
      <status>unmodified</status>
      <modifiedWord/>
      <trackRevisions>false</trackRevisions>
    </reviewItem>
    <reviewItem>
      <errorID>64365d2d-c1c9-4ba6-ac2d-abc42bf35214</errorID>
      <errorWord>、</errorWord>
      <group>L1_Punc</group>
      <groupName>标点问题</groupName>
      <ability>L2_Punc</ability>
      <abilityName>标点符号检查</abilityName>
      <candidateList>
        <item>，</item>
      </candidateList>
      <explain/>
      <paraID>46A9842B</paraID>
      <start>73</start>
      <end>74</end>
      <status>unmodified</status>
      <modifiedWord/>
      <trackRevisions>false</trackRevisions>
    </reviewItem>
    <reviewItem>
      <errorID>35f250c1-e46c-416d-a0c4-25542c7fead5</errorID>
      <errorWord>(</errorWord>
      <group>L1_Format</group>
      <groupName>格式问题</groupName>
      <ability>L2_HalfPunc</ability>
      <abilityName>全半角检查</abilityName>
      <candidateList>
        <item>（</item>
      </candidateList>
      <explain>文本全半角错误。</explain>
      <paraID>1B4F5F3A</paraID>
      <start>32</start>
      <end>33</end>
      <status>modified</status>
      <modifiedWord>（</modifiedWord>
      <trackRevisions>false</trackRevisions>
    </reviewItem>
    <reviewItem>
      <errorID>9460427f-ff9e-4b61-b8eb-d93cd21a2308</errorID>
      <errorWord>)</errorWord>
      <group>L1_Format</group>
      <groupName>格式问题</groupName>
      <ability>L2_HalfPunc</ability>
      <abilityName>全半角检查</abilityName>
      <candidateList>
        <item>）</item>
      </candidateList>
      <explain>文本全半角错误。</explain>
      <paraID>1B4F5F3A</paraID>
      <start>45</start>
      <end>46</end>
      <status>modified</status>
      <modifiedWord>）</modifiedWord>
      <trackRevisions>false</trackRevisions>
    </reviewItem>
    <reviewItem>
      <errorID>163aa541-e522-4073-93c4-9261c47f6f7c</errorID>
      <errorWord>(奖项)</errorWord>
      <group>L1_Punc</group>
      <groupName>标点问题</groupName>
      <ability>L2_Punc</ability>
      <abilityName>标点符号检查</abilityName>
      <candidateList>
        <item>（奖项）</item>
      </candidateList>
      <explain/>
      <paraID>2428F467</paraID>
      <start>12</start>
      <end>16</end>
      <status>modified</status>
      <modifiedWord>（奖项）</modifiedWord>
      <trackRevisions>false</trackRevisions>
    </reviewItem>
    <reviewItem>
      <errorID>f52a06e9-9e59-48c4-b72d-1feaf5309311</errorID>
      <errorWord>取得</errorWord>
      <group>L1_Word</group>
      <groupName>字词问题</groupName>
      <ability>L2_Typo</ability>
      <abilityName>字词错误</abilityName>
      <candidateList>
        <item>获得</item>
      </candidateList>
      <explain/>
      <paraID>2428F467</paraID>
      <start>24</start>
      <end>26</end>
      <status>unmodified</status>
      <modifiedWord/>
      <trackRevisions>false</trackRevisions>
    </reviewItem>
    <reviewItem>
      <errorID>bdfc637f-f47b-4a99-a171-0be56d2476e8</errorID>
      <errorWord>亟需</errorWord>
      <group>L1_Word</group>
      <groupName>字词问题</groupName>
      <ability>L2_Typo</ability>
      <abilityName>字词错误</abilityName>
      <candidateList>
        <item>亟须</item>
      </candidateList>
      <explain/>
      <paraID> 950A2D6</paraID>
      <start>95</start>
      <end>97</end>
      <status>unmodified</status>
      <modifiedWord/>
      <trackRevisions>false</trackRevisions>
    </reviewItem>
    <reviewItem>
      <errorID>5ef4aafb-e339-48ec-b7c7-a02861e79e21</errorID>
      <errorWord>：</errorWord>
      <group>L1_Punc</group>
      <groupName>标点问题</groupName>
      <ability>L2_Punc</ability>
      <abilityName>标点符号检查</abilityName>
      <candidateList>
        <item>，</item>
      </candidateList>
      <explain/>
      <paraID>798DFFBE</paraID>
      <start>128</start>
      <end>129</end>
      <status>modified</status>
      <modifiedWord>，</modifiedWord>
      <trackRevisions>false</trackRevisions>
    </reviewItem>
    <reviewItem>
      <errorID>38250ce7-cbdd-47c6-ad9a-f7c724f49d0b</errorID>
      <errorWord>考察</errorWord>
      <group>L1_Word</group>
      <groupName>字词问题</groupName>
      <ability>L2_Typo</ability>
      <abilityName>字词错误</abilityName>
      <candidateList>
        <item>考查</item>
      </candidateList>
      <explain>〈动〉用一定的标准来检查衡量（行为、活动）：～学生的学业成绩。</explain>
      <paraID>7F22E409</paraID>
      <start>16</start>
      <end>18</end>
      <status>unmodified</status>
      <modifiedWord/>
      <trackRevisions>false</trackRevisions>
    </reviewItem>
    <reviewItem>
      <errorID>ab9eb11c-9191-4fea-a7be-ddf8e36aad6b</errorID>
      <errorWord>(</errorWord>
      <group>L1_Format</group>
      <groupName>格式问题</groupName>
      <ability>L2_HalfPunc</ability>
      <abilityName>全半角检查</abilityName>
      <candidateList>
        <item>（</item>
      </candidateList>
      <explain>文本全半角错误。</explain>
      <paraID> BC4E4AD</paraID>
      <start>5</start>
      <end>6</end>
      <status>modified</status>
      <modifiedWord>（</modifiedWord>
      <trackRevisions>false</trackRevisions>
    </reviewItem>
    <reviewItem>
      <errorID>54dee211-9f62-46fb-80fd-0078b48ef2ab</errorID>
      <errorWord>)</errorWord>
      <group>L1_Format</group>
      <groupName>格式问题</groupName>
      <ability>L2_HalfPunc</ability>
      <abilityName>全半角检查</abilityName>
      <candidateList>
        <item>）</item>
      </candidateList>
      <explain>文本全半角错误。</explain>
      <paraID> BC4E4AD</paraID>
      <start>9</start>
      <end>10</end>
      <status>modified</status>
      <modifiedWord>）</modifiedWord>
      <trackRevisions>false</trackRevisions>
    </reviewItem>
    <reviewItem>
      <errorID>a35bf56c-825d-47d5-b34c-be03fc3f2bd6</errorID>
      <errorWord>:</errorWord>
      <group>L1_Format</group>
      <groupName>格式问题</groupName>
      <ability>L2_HalfPunc</ability>
      <abilityName>全半角检查</abilityName>
      <candidateList>
        <item>：</item>
      </candidateList>
      <explain>文本全半角错误。</explain>
      <paraID> BC4E4AD</paraID>
      <start>10</start>
      <end>11</end>
      <status>modified</status>
      <modifiedWord>：</modifiedWord>
      <trackRevisions>false</trackRevisions>
    </reviewItem>
    <reviewItem>
      <errorID>27e12582-f285-43e8-ba19-d94607fda5e7</errorID>
      <errorWord>(</errorWord>
      <group>L1_Format</group>
      <groupName>格式问题</groupName>
      <ability>L2_HalfPunc</ability>
      <abilityName>全半角检查</abilityName>
      <candidateList>
        <item>（</item>
      </candidateList>
      <explain>文本全半角错误。</explain>
      <paraID>5A40735D</paraID>
      <start>5</start>
      <end>6</end>
      <status>modified</status>
      <modifiedWord>（</modifiedWord>
      <trackRevisions>false</trackRevisions>
    </reviewItem>
    <reviewItem>
      <errorID>8e39e8bb-05a3-47a8-a334-1b570363bbca</errorID>
      <errorWord>)</errorWord>
      <group>L1_Format</group>
      <groupName>格式问题</groupName>
      <ability>L2_HalfPunc</ability>
      <abilityName>全半角检查</abilityName>
      <candidateList>
        <item>）</item>
      </candidateList>
      <explain>文本全半角错误。</explain>
      <paraID>5A40735D</paraID>
      <start>9</start>
      <end>10</end>
      <status>modified</status>
      <modifiedWord>）</modifiedWord>
      <trackRevisions>false</trackRevisions>
    </reviewItem>
    <reviewItem>
      <errorID>503e52f0-ea7e-4fd3-94d6-5b96c121e5e7</errorID>
      <errorWord>:</errorWord>
      <group>L1_Format</group>
      <groupName>格式问题</groupName>
      <ability>L2_HalfPunc</ability>
      <abilityName>全半角检查</abilityName>
      <candidateList>
        <item>：</item>
      </candidateList>
      <explain>文本全半角错误。</explain>
      <paraID>5A40735D</paraID>
      <start>10</start>
      <end>11</end>
      <status>modified</status>
      <modifiedWord>：</modifiedWord>
      <trackRevisions>false</trackRevisions>
    </reviewItem>
    <reviewItem>
      <errorID>85eec1a8-6492-405d-8e2e-ebb498d43c89</errorID>
      <errorWord>(</errorWord>
      <group>L1_Format</group>
      <groupName>格式问题</groupName>
      <ability>L2_HalfPunc</ability>
      <abilityName>全半角检查</abilityName>
      <candidateList>
        <item>（</item>
      </candidateList>
      <explain>文本全半角错误。</explain>
      <paraID>3FBCF10B</paraID>
      <start>6</start>
      <end>7</end>
      <status>modified</status>
      <modifiedWord>（</modifiedWord>
      <trackRevisions>false</trackRevisions>
    </reviewItem>
    <reviewItem>
      <errorID>457b3e02-a5d9-469a-800f-20df177b890d</errorID>
      <errorWord>)</errorWord>
      <group>L1_Format</group>
      <groupName>格式问题</groupName>
      <ability>L2_HalfPunc</ability>
      <abilityName>全半角检查</abilityName>
      <candidateList>
        <item>）</item>
      </candidateList>
      <explain>文本全半角错误。</explain>
      <paraID>3FBCF10B</paraID>
      <start>10</start>
      <end>11</end>
      <status>modified</status>
      <modifiedWord>）</modifiedWord>
      <trackRevisions>false</trackRevisions>
    </reviewItem>
    <reviewItem>
      <errorID>7a8ff748-7ffc-48fa-a0df-8addd422dddb</errorID>
      <errorWord>:</errorWord>
      <group>L1_Format</group>
      <groupName>格式问题</groupName>
      <ability>L2_HalfPunc</ability>
      <abilityName>全半角检查</abilityName>
      <candidateList>
        <item>：</item>
      </candidateList>
      <explain>文本全半角错误。</explain>
      <paraID>3FBCF10B</paraID>
      <start>11</start>
      <end>12</end>
      <status>modified</status>
      <modifiedWord>：</modifiedWord>
      <trackRevisions>false</trackRevisions>
    </reviewItem>
    <reviewItem>
      <errorID>32a1be65-44c2-43fa-a349-fd1631ac5f85</errorID>
      <errorWord>(</errorWord>
      <group>L1_Format</group>
      <groupName>格式问题</groupName>
      <ability>L2_HalfPunc</ability>
      <abilityName>全半角检查</abilityName>
      <candidateList>
        <item>（</item>
      </candidateList>
      <explain>文本全半角错误。</explain>
      <paraID>2FEAA6F9</paraID>
      <start>10</start>
      <end>11</end>
      <status>modified</status>
      <modifiedWord>（</modifiedWord>
      <trackRevisions>false</trackRevisions>
    </reviewItem>
    <reviewItem>
      <errorID>d48fd1fd-6af2-4e5a-93f5-e0149fae5daa</errorID>
      <errorWord>)</errorWord>
      <group>L1_Format</group>
      <groupName>格式问题</groupName>
      <ability>L2_HalfPunc</ability>
      <abilityName>全半角检查</abilityName>
      <candidateList>
        <item>）</item>
      </candidateList>
      <explain>文本全半角错误。</explain>
      <paraID>2FEAA6F9</paraID>
      <start>14</start>
      <end>15</end>
      <status>modified</status>
      <modifiedWord>）</modifiedWord>
      <trackRevisions>false</trackRevisions>
    </reviewItem>
    <reviewItem>
      <errorID>97a4b92e-a887-4979-9721-b8b9498603e4</errorID>
      <errorWord>:</errorWord>
      <group>L1_Format</group>
      <groupName>格式问题</groupName>
      <ability>L2_HalfPunc</ability>
      <abilityName>全半角检查</abilityName>
      <candidateList>
        <item>：</item>
      </candidateList>
      <explain>文本全半角错误。</explain>
      <paraID>2FEAA6F9</paraID>
      <start>15</start>
      <end>16</end>
      <status>modified</status>
      <modifiedWord>：</modifiedWord>
      <trackRevisions>false</trackRevisions>
    </reviewItem>
    <reviewItem>
      <errorID>7f869858-3238-4a6e-8655-8c34e09f434c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228CCAA0</paraID>
      <start>0</start>
      <end>2</end>
      <status>modified</status>
      <modifiedWord>1.</modifiedWord>
      <trackRevisions>false</trackRevisions>
    </reviewItem>
    <reviewItem>
      <errorID>1a041805-0509-432a-be26-5fc13538d2ea</errorID>
      <errorWord>，</errorWord>
      <group>L1_Punc</group>
      <groupName>标点问题</groupName>
      <ability>L2_Punc</ability>
      <abilityName>标点符号检查</abilityName>
      <candidateList>
        <item>。</item>
      </candidateList>
      <explain/>
      <paraID>5323914F</paraID>
      <start>19</start>
      <end>20</end>
      <status>modified</status>
      <modifiedWord>。</modifiedWord>
      <trackRevisions>false</trackRevisions>
    </reviewItem>
    <reviewItem>
      <errorID>c6ff5e5f-5e7e-4b8a-9731-c3dd9b1d2135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2AED3A2</paraID>
      <start>0</start>
      <end>2</end>
      <status>modified</status>
      <modifiedWord>1.</modifiedWord>
      <trackRevisions>false</trackRevisions>
    </reviewItem>
    <reviewItem>
      <errorID>57911f53-29cb-4afe-9fa0-eefce8ae38bf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2D0DFD9</paraID>
      <start>0</start>
      <end>2</end>
      <status>modified</status>
      <modifiedWord>2.</modifiedWord>
      <trackRevisions>false</trackRevisions>
    </reviewItem>
    <reviewItem>
      <errorID>79592660-3c76-4ccb-8bdc-52fc239116ed</errorID>
      <errorWord>;</errorWord>
      <group>L1_Punc</group>
      <groupName>标点问题</groupName>
      <ability>L2_Punc</ability>
      <abilityName>标点符号检查</abilityName>
      <candidateList>
        <item>；</item>
      </candidateList>
      <explain/>
      <paraID> 2D0DFD9</paraID>
      <start>33</start>
      <end>34</end>
      <status>modified</status>
      <modifiedWord>；</modifiedWord>
      <trackRevisions>false</trackRevisions>
    </reviewItem>
    <reviewItem>
      <errorID>135e7fa5-2dc3-4cb9-9101-f4384861bea6</errorID>
      <errorWord>.</errorWord>
      <group>L1_Format</group>
      <groupName>格式问题</groupName>
      <ability>L2_HalfPunc</ability>
      <abilityName>全半角检查</abilityName>
      <candidateList>
        <item>。</item>
      </candidateList>
      <explain>文本全半角错误。</explain>
      <paraID>70C1309D</paraID>
      <start>34</start>
      <end>35</end>
      <status>modified</status>
      <modifiedWord>。</modifiedWord>
      <trackRevisions>false</trackRevisions>
    </reviewItem>
    <reviewItem>
      <errorID>5bcc3339-0af5-4ea6-a34a-d9d673cc5511</errorID>
      <errorWord>将</errorWord>
      <group>L1_Grammar</group>
      <groupName>语法问题</groupName>
      <ability>L2_Grammar</ability>
      <abilityName>语法错误</abilityName>
      <candidateList>
        <item>主办方将</item>
      </candidateList>
      <explain/>
      <paraID>3775A032</paraID>
      <start>19</start>
      <end>20</end>
      <status>unmodified</status>
      <modifiedWord/>
      <trackRevisions>false</trackRevisions>
    </reviewItem>
    <reviewItem>
      <errorID>4c644597-baaf-48e1-a1d5-68047a23151a</errorID>
      <errorWord> </errorWord>
      <group>L1_Punc</group>
      <groupName>标点问题</groupName>
      <ability>L2_Punc</ability>
      <abilityName>标点符号检查</abilityName>
      <candidateList>
        <item/>
      </candidateList>
      <explain>此处空格冗余，建议删除。</explain>
      <paraID>14F43095</paraID>
      <start>0</start>
      <end>0</end>
      <status>modified</status>
      <modifiedWord/>
      <trackRevisions>false</trackRevisions>
    </reviewItem>
    <reviewItem>
      <errorID>a47a5d23-e81a-4b1d-b672-8cbe7941ecce</errorID>
      <errorWord>将</errorWord>
      <group>L1_Grammar</group>
      <groupName>语法问题</groupName>
      <ability>L2_Grammar</ability>
      <abilityName>语法错误</abilityName>
      <candidateList>
        <item>主办方将</item>
      </candidateList>
      <explain/>
      <paraID>14F43095</paraID>
      <start>7</start>
      <end>8</end>
      <status>unmodified</status>
      <modifiedWord/>
      <trackRevisions>false</trackRevisions>
    </reviewItem>
    <reviewItem>
      <errorID>095433f5-998a-4b38-a0d8-fb951f3071d1</errorID>
      <errorWord> </errorWord>
      <group>L1_Punc</group>
      <groupName>标点问题</groupName>
      <ability>L2_Punc</ability>
      <abilityName>标点符号检查</abilityName>
      <candidateList>
        <item/>
      </candidateList>
      <explain>此处空格冗余，建议删除。</explain>
      <paraID> 4DD2372</paraID>
      <start>0</start>
      <end>0</end>
      <status>modified</status>
      <modifiedWord/>
      <trackRevisions>false</trackRevisions>
    </reviewItem>
    <reviewItem>
      <errorID>426b5c2e-3609-4bb7-af32-3c5af996d78a</errorID>
      <errorWord>将</errorWord>
      <group>L1_Grammar</group>
      <groupName>语法问题</groupName>
      <ability>L2_Grammar</ability>
      <abilityName>语法错误</abilityName>
      <candidateList>
        <item>主办方将</item>
      </candidateList>
      <explain/>
      <paraID> 4DD2372</paraID>
      <start>5</start>
      <end>6</end>
      <status>unmodified</status>
      <modifiedWord/>
      <trackRevisions>false</trackRevisions>
    </reviewItem>
    <reviewItem>
      <errorID>af28803e-5b19-421f-9ce0-cd521cc7eb34</errorID>
      <errorWord> </errorWord>
      <group>L1_Punc</group>
      <groupName>标点问题</groupName>
      <ability>L2_Punc</ability>
      <abilityName>标点符号检查</abilityName>
      <candidateList>
        <item/>
      </candidateList>
      <explain>此处空格冗余，建议删除。</explain>
      <paraID>5CA73D20</paraID>
      <start>0</start>
      <end>0</end>
      <status>modified</status>
      <modifiedWord/>
      <trackRevisions>false</trackRevisions>
    </reviewItem>
    <reviewItem>
      <errorID>4a373153-f7bb-4291-bf28-ee0bda43e791</errorID>
      <errorWord>将</errorWord>
      <group>L1_Grammar</group>
      <groupName>语法问题</groupName>
      <ability>L2_Grammar</ability>
      <abilityName>语法错误</abilityName>
      <candidateList>
        <item>主办方将</item>
      </candidateList>
      <explain/>
      <paraID>5CA73D20</paraID>
      <start>9</start>
      <end>10</end>
      <status>unmodified</status>
      <modifiedWord/>
      <trackRevisions>false</trackRevisions>
    </reviewItem>
    <reviewItem>
      <errorID>5f80837b-7945-401b-b188-266d82dd7e69</errorID>
      <errorWord>，</errorWord>
      <group>L1_Punc</group>
      <groupName>标点问题</groupName>
      <ability>L2_Punc</ability>
      <abilityName>标点符号检查</abilityName>
      <candidateList>
        <item>、</item>
      </candidateList>
      <explain/>
      <paraID> 7807F72</paraID>
      <start>19</start>
      <end>20</end>
      <status>unmodified</status>
      <modifiedWord/>
      <trackRevisions>false</trackRevisions>
    </reviewItem>
    <reviewItem>
      <errorID>9fb3b174-5ebb-4a2f-af7d-2422bfdae1ed</errorID>
      <errorWord>，</errorWord>
      <group>L1_Punc</group>
      <groupName>标点问题</groupName>
      <ability>L2_Punc</ability>
      <abilityName>标点符号检查</abilityName>
      <candidateList>
        <item>、</item>
      </candidateList>
      <explain/>
      <paraID> 7807F72</paraID>
      <start>26</start>
      <end>27</end>
      <status>unmodified</status>
      <modifiedWord/>
      <trackRevisions>false</trackRevisions>
    </reviewItem>
    <reviewItem>
      <errorID>931f7635-1e0a-4373-aaf4-c08498635539</errorID>
      <errorWord> </errorWord>
      <group>L1_Punc</group>
      <groupName>标点问题</groupName>
      <ability>L2_Punc</ability>
      <abilityName>标点符号检查</abilityName>
      <candidateList>
        <item/>
      </candidateList>
      <explain>此处空格冗余，建议删除。</explain>
      <paraID>58E15194</paraID>
      <start>0</start>
      <end>0</end>
      <status>modified</status>
      <modifiedWord/>
      <trackRevisions>false</trackRevisions>
    </reviewItem>
    <reviewItem>
      <errorID>93a2c2fc-31f4-465d-9893-17fd757d298d</errorID>
      <errorWord>为</errorWord>
      <group>L1_Grammar</group>
      <groupName>语法问题</groupName>
      <ability>L2_Grammar</ability>
      <abilityName>语法错误</abilityName>
      <candidateList>
        <item>主办方将为</item>
      </candidateList>
      <explain/>
      <paraID>58E15194</paraID>
      <start>9</start>
      <end>10</end>
      <status>unmodified</status>
      <modifiedWord/>
      <trackRevisions>false</trackRevisions>
    </reviewItem>
    <reviewItem>
      <errorID>3412dfa5-e8b6-47ae-929a-e090359667ec</errorID>
      <errorWord> </errorWord>
      <group>L1_Punc</group>
      <groupName>标点问题</groupName>
      <ability>L2_Punc</ability>
      <abilityName>标点符号检查</abilityName>
      <candidateList>
        <item/>
      </candidateList>
      <explain>此处空格冗余，建议删除。</explain>
      <paraID>210B2746</paraID>
      <start>0</start>
      <end>0</end>
      <status>modified</status>
      <modifiedWord/>
      <trackRevisions>false</trackRevisions>
    </reviewItem>
    <reviewItem>
      <errorID>52ab64cc-d69b-445e-9a4f-f1eeb406d85e</errorID>
      <errorWord>为</errorWord>
      <group>L1_Grammar</group>
      <groupName>语法问题</groupName>
      <ability>L2_Grammar</ability>
      <abilityName>语法错误</abilityName>
      <candidateList>
        <item>主办方将为</item>
      </candidateList>
      <explain/>
      <paraID>210B2746</paraID>
      <start>9</start>
      <end>10</end>
      <status>unmodified</status>
      <modifiedWord/>
      <trackRevisions>false</trackRevisions>
    </reviewItem>
    <reviewItem>
      <errorID>57a06cad-e143-4d43-aa5d-34f3cec1171a</errorID>
      <errorWord>我们</errorWord>
      <group>L1_Word</group>
      <groupName>字词问题</groupName>
      <ability>L2_Typo</ability>
      <abilityName>字词错误</abilityName>
      <candidateList>
        <item>主办方</item>
      </candidateList>
      <explain/>
      <paraID>64CA06F5</paraID>
      <start>5</start>
      <end>7</end>
      <status>unmodified</status>
      <modifiedWord/>
      <trackRevisions>false</trackRevisions>
    </reviewItem>
    <reviewItem>
      <errorID>4bbefd93-118b-4630-b177-8c99dbdeeef5</errorID>
      <errorWord> </errorWord>
      <group>L1_Punc</group>
      <groupName>标点问题</groupName>
      <ability>L2_Punc</ability>
      <abilityName>标点符号检查</abilityName>
      <candidateList>
        <item/>
      </candidateList>
      <explain>此处空格冗余，建议删除。</explain>
      <paraID>453846E7</paraID>
      <start>0</start>
      <end>0</end>
      <status>modified</status>
      <modifiedWord/>
      <trackRevisions>false</trackRevisions>
    </reviewItem>
    <reviewItem>
      <errorID>cfdaabca-d331-4326-8eda-552c8ddac4c8</errorID>
      <errorWord>联系时间</errorWord>
      <group>L1_Word</group>
      <groupName>字词问题</groupName>
      <ability>L2_Typo</ability>
      <abilityName>字词错误</abilityName>
      <candidateList>
        <item>联系方式</item>
      </candidateList>
      <explain/>
      <paraID>7D7727F7</paraID>
      <start>0</start>
      <end>4</end>
      <status>unmodified</status>
      <modifiedWord/>
      <trackRevisions>false</trackRevisions>
    </reviewItem>
    <reviewItem>
      <errorID>9bcf6761-64b7-43ef-8099-c78df7dca930</errorID>
      <errorWord>加强</errorWord>
      <group>L1_Grammar</group>
      <groupName>语法问题</groupName>
      <ability>L2_Grammar</ability>
      <abilityName>语法错误</abilityName>
      <candidateList>
        <item>促进</item>
      </candidateList>
      <explain>“加强～转型”搭配不当，建议修改为“促进～转型”。</explain>
      <paraID>37F9531A</paraID>
      <start>55</start>
      <end>57</end>
      <status>unmodified</status>
      <modifiedWord/>
      <trackRevisions>false</trackRevisions>
    </reviewItem>
    <reviewItem>
      <errorID>08f67186-5fab-4ba2-adbb-e9a11366c246</errorID>
      <errorWord>产业化转型升级</errorWord>
      <group>L1_Political</group>
      <groupName>政治性问题</groupName>
      <ability>L2_Keyword</ability>
      <abilityName>固定表述</abilityName>
      <candidateList>
        <item>产业转型升级</item>
      </candidateList>
      <explain>词汇“产业转型升级”在特定场景下为固定表述形式，请确认此处的“产业化转型升级”是否存在不当。</explain>
      <paraID>37F9531A</paraID>
      <start>61</start>
      <end>68</end>
      <status>unmodified</status>
      <modifiedWord/>
      <trackRevisions>false</trackRevisions>
    </reviewItem>
    <reviewItem>
      <errorID>428950a4-4021-4138-bee3-e1940b76a32e</errorID>
      <errorWord>大约在4个小时左右</errorWord>
      <group>L1_Grammar</group>
      <groupName>语法问题</groupName>
      <ability>L2_Grammar</ability>
      <abilityName>语法错误</abilityName>
      <candidateList>
        <item>大约在4个小时</item>
      </candidateList>
      <explain/>
      <paraID> 372E3F3</paraID>
      <start>152</start>
      <end>161</end>
      <status>unmodified</status>
      <modifiedWord/>
      <trackRevisions>false</trackRevisions>
    </reviewItem>
    <reviewItem>
      <errorID>b256ec77-8a79-40bd-9ca9-641e2d779ecc</errorID>
      <errorWord>亟需</errorWord>
      <group>L1_Word</group>
      <groupName>字词问题</groupName>
      <ability>L2_Typo</ability>
      <abilityName>字词错误</abilityName>
      <candidateList>
        <item>亟须</item>
      </candidateList>
      <explain/>
      <paraID> 372E3F3</paraID>
      <start>182</start>
      <end>184</end>
      <status>unmodified</status>
      <modifiedWord/>
      <trackRevisions>false</trackRevisions>
    </reviewItem>
    <reviewItem>
      <errorID>e081c749-2e77-4de2-840e-f68e27f3e6e2</errorID>
      <errorWord>，</errorWord>
      <group>L1_Punc</group>
      <groupName>标点问题</groupName>
      <ability>L2_Punc</ability>
      <abilityName>标点符号检查</abilityName>
      <candidateList>
        <item/>
      </candidateList>
      <explain/>
      <paraID> 372E3F3</paraID>
      <start>244</start>
      <end>244</end>
      <status>modified</status>
      <modifiedWord/>
      <trackRevisions>false</trackRevisions>
    </reviewItem>
    <reviewItem>
      <errorID>c95c0b45-e6bb-48c7-a3a1-a706dda99f5f</errorID>
      <errorWord>补足</errorWord>
      <group>L1_Punc</group>
      <groupName>标点问题</groupName>
      <ability>L2_Punc</ability>
      <abilityName>标点符号检查</abilityName>
      <candidateList>
        <item>，补足</item>
      </candidateList>
      <explain/>
      <paraID> 372E3F3</paraID>
      <start>250</start>
      <end>252</end>
      <status>unmodified</status>
      <modifiedWord/>
      <trackRevisions>false</trackRevisions>
    </reviewItem>
    <reviewItem>
      <errorID>688b1be7-5015-4ae1-86e8-d93498b4e187</errorID>
      <errorWord>作为</errorWord>
      <group>L1_Word</group>
      <groupName>字词问题</groupName>
      <ability>L2_Typo</ability>
      <abilityName>字词错误</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5BCBCF52</paraID>
      <start>15</start>
      <end>17</end>
      <status>unmodified</status>
      <modifiedWord/>
      <trackRevisions>false</trackRevisions>
    </reviewItem>
    <reviewItem>
      <errorID>29b1b55b-f97d-4b49-9470-c0625a7e7e1c</errorID>
      <errorWord>，五个维度</errorWord>
      <group>L1_Word</group>
      <groupName>字词问题</groupName>
      <ability>L2_Typo</ability>
      <abilityName>字词错误</abilityName>
      <candidateList>
        <item>五个维度，</item>
      </candidateList>
      <explain/>
      <paraID>46EF610F</paraID>
      <start>78</start>
      <end>83</end>
      <status>unmodified</status>
      <modifiedWord/>
      <trackRevisions>false</trackRevisions>
    </reviewItem>
    <reviewItem>
      <errorID>29af0c5e-8fea-4033-88b0-422db027d683</errorID>
      <errorWord>繁琐</errorWord>
      <group>L1_Word</group>
      <groupName>字词问题</groupName>
      <ability>L2_Typo</ability>
      <abilityName>字词错误</abilityName>
      <candidateList>
        <item>烦琐</item>
      </candidateList>
      <explain/>
      <paraID>65ACD1C5</paraID>
      <start>189</start>
      <end>191</end>
      <status>unmodified</status>
      <modifiedWord/>
      <trackRevisions>false</trackRevisions>
    </reviewItem>
    <reviewItem>
      <errorID>e305c2bc-3f38-4b8a-8bbe-bb05a39e4e1c</errorID>
      <errorWord>功能</errorWord>
      <group>L1_Word</group>
      <groupName>字词问题</groupName>
      <ability>L2_Typo</ability>
      <abilityName>字词错误</abilityName>
      <candidateList>
        <item>的功能</item>
      </candidateList>
      <explain/>
      <paraID>46B10C5A</paraID>
      <start>14</start>
      <end>16</end>
      <status>unmodified</status>
      <modifiedWord/>
      <trackRevisions>false</trackRevisions>
    </reviewItem>
    <reviewItem>
      <errorID>49974388-82dc-4b72-a0ce-ffe9286ebf18</errorID>
      <errorWord>体现不少于</errorWord>
      <group>L1_Grammar</group>
      <groupName>语法问题</groupName>
      <ability>L2_Grammar</ability>
      <abilityName>语法错误</abilityName>
      <candidateList>
        <item>体现</item>
      </candidateList>
      <explain/>
      <paraID>46B10C5A</paraID>
      <start>19</start>
      <end>24</end>
      <status>unmodified</status>
      <modifiedWord/>
      <trackRevisions>false</trackRevisions>
    </reviewItem>
    <reviewItem>
      <errorID>54db1299-43d4-440f-b016-0ea9e99f67f5</errorID>
      <errorWord>交互模式</errorWord>
      <group>L1_Grammar</group>
      <groupName>语法问题</groupName>
      <ability>L2_Grammar</ability>
      <abilityName>语法错误</abilityName>
      <candidateList>
        <item>交互</item>
      </candidateList>
      <explain/>
      <paraID>46B10C5A</paraID>
      <start>70</start>
      <end>74</end>
      <status>unmodified</status>
      <modifiedWord/>
      <trackRevisions>false</trackRevisions>
    </reviewItem>
    <reviewItem>
      <errorID>8b37bb97-76e5-4846-9fe9-ec440b03872d</errorID>
      <errorWord>并</errorWord>
      <group>L1_Word</group>
      <groupName>字词问题</groupName>
      <ability>L2_Typo</ability>
      <abilityName>字词错误</abilityName>
      <candidateList>
        <item>且</item>
      </candidateList>
      <explain/>
      <paraID>46B10C5A</paraID>
      <start>75</start>
      <end>76</end>
      <status>unmodified</status>
      <modifiedWord/>
      <trackRevisions>false</trackRevisions>
    </reviewItem>
    <reviewItem>
      <errorID>ae7aef1b-7b52-4a19-8ff6-145a546b1fd4</errorID>
      <errorWord>作品</errorWord>
      <group>L1_Punc</group>
      <groupName>标点问题</groupName>
      <ability>L2_Punc</ability>
      <abilityName>标点符号检查</abilityName>
      <candidateList>
        <item>. 作品</item>
      </candidateList>
      <explain/>
      <paraID>2AF21B23</paraID>
      <start>1</start>
      <end>3</end>
      <status>unmodified</status>
      <modifiedWord/>
      <trackRevisions>false</trackRevisions>
    </reviewItem>
    <reviewItem>
      <errorID>3a82f882-f646-4f62-be9b-7f755baaec7c</errorID>
      <errorWord>：</errorWord>
      <group>L1_Punc</group>
      <groupName>标点问题</groupName>
      <ability>L2_Punc</ability>
      <abilityName>标点符号检查</abilityName>
      <candidateList>
        <item>。</item>
      </candidateList>
      <explain/>
      <paraID>28C95EB2</paraID>
      <start>22</start>
      <end>23</end>
      <status>unmodified</status>
      <modifiedWord/>
      <trackRevisions>false</trackRevisions>
    </reviewItem>
    <reviewItem>
      <errorID>8206bd46-f8a7-4f87-9b4f-5294d0a9ba2b</errorID>
      <errorWord> </errorWord>
      <group>L1_Punc</group>
      <groupName>标点问题</groupName>
      <ability>L2_Punc</ability>
      <abilityName>标点符号检查</abilityName>
      <candidateList>
        <item/>
      </candidateList>
      <explain>此处空格冗余，建议删除。</explain>
      <paraID>18BDBD34</paraID>
      <start>177</start>
      <end>177</end>
      <status>modified</status>
      <modifiedWord/>
      <trackRevisions>false</trackRevisions>
    </reviewItem>
    <reviewItem>
      <errorID>923042c3-a892-469b-90c3-ae57042e8c1b</errorID>
      <errorWord>我国</errorWord>
      <group>L1_Punc</group>
      <groupName>标点问题</groupName>
      <ability>L2_Punc</ability>
      <abilityName>标点符号检查</abilityName>
      <candidateList>
        <item>，我国</item>
      </candidateList>
      <explain/>
      <paraID>2C81F52A</paraID>
      <start>35</start>
      <end>37</end>
      <status>unmodified</status>
      <modifiedWord/>
      <trackRevisions>false</trackRevisions>
    </reviewItem>
    <reviewItem>
      <errorID>ab7e74ea-8306-43ba-9cd6-664daac066cf</errorID>
      <errorWord>需具备</errorWord>
      <group>L1_Word</group>
      <groupName>字词问题</groupName>
      <ability>L2_Typo</ability>
      <abilityName>字词错误</abilityName>
      <candidateList>
        <item>须具备</item>
      </candidateList>
      <explain/>
      <paraID>2C81F52A</paraID>
      <start>208</start>
      <end>211</end>
      <status>unmodified</status>
      <modifiedWord/>
      <trackRevisions>false</trackRevisions>
    </reviewItem>
    <reviewItem>
      <errorID>5c6125e6-d5b9-471d-a643-bdb73438b9b7</errorID>
      <errorWord>慢病</errorWord>
      <group>L1_Word</group>
      <groupName>字词问题</groupName>
      <ability>L2_Typo</ability>
      <abilityName>字词错误</abilityName>
      <candidateList>
        <item>慢性病</item>
      </candidateList>
      <explain/>
      <paraID>2C81F52A</paraID>
      <start>253</start>
      <end>255</end>
      <status>unmodified</status>
      <modifiedWord/>
      <trackRevisions>false</trackRevisions>
    </reviewItem>
    <reviewItem>
      <errorID>d6f3d169-bb04-4c68-bc78-c19ec66b928a</errorID>
      <errorWord>需具备</errorWord>
      <group>L1_Word</group>
      <groupName>字词问题</groupName>
      <ability>L2_Typo</ability>
      <abilityName>字词错误</abilityName>
      <candidateList>
        <item>须具备</item>
      </candidateList>
      <explain/>
      <paraID>60187455</paraID>
      <start>71</start>
      <end>74</end>
      <status>unmodified</status>
      <modifiedWord/>
      <trackRevisions>false</trackRevisions>
    </reviewItem>
    <reviewItem>
      <errorID>a8fdb010-4641-4e39-8b5d-9a5478781faa</errorID>
      <errorWord>技术研发</errorWord>
      <group>L1_Word</group>
      <groupName>字词问题</groupName>
      <ability>L2_Typo</ability>
      <abilityName>字词错误</abilityName>
      <candidateList>
        <item>技术开发</item>
      </candidateList>
      <explain/>
      <paraID>590743DF</paraID>
      <start>32</start>
      <end>36</end>
      <status>unmodified</status>
      <modifiedWord/>
      <trackRevisions>false</trackRevisions>
    </reviewItem>
    <reviewItem>
      <errorID>7a98b5e7-f207-434d-8c96-339aa95faf80</errorID>
      <errorWord>, </errorWord>
      <group>L1_Punc</group>
      <groupName>标点问题</groupName>
      <ability>L2_Punc</ability>
      <abilityName>标点符号检查</abilityName>
      <candidateList>
        <item>。</item>
      </candidateList>
      <explain/>
      <paraID>6D61111C</paraID>
      <start>30</start>
      <end>32</end>
      <status>unmodified</status>
      <modifiedWord/>
      <trackRevisions>false</trackRevisions>
    </reviewItem>
    <reviewItem>
      <errorID>0c1d66ac-f4f6-483a-a7ae-fecf21ad933c</errorID>
      <errorWord>:</errorWord>
      <group>L1_Format</group>
      <groupName>格式问题</groupName>
      <ability>L2_HalfPunc</ability>
      <abilityName>全半角检查</abilityName>
      <candidateList>
        <item>：</item>
      </candidateList>
      <explain>文本全半角错误。</explain>
      <paraID>6D61111C</paraID>
      <start>90</start>
      <end>91</end>
      <status>modified</status>
      <modifiedWord>：</modifiedWord>
      <trackRevisions>false</trackRevisions>
    </reviewItem>
    <reviewItem>
      <errorID>85ce7ce3-38f2-41d3-8241-e0aaecce0366</errorID>
      <errorWord>，</errorWord>
      <group>L1_Word</group>
      <groupName>字词问题</groupName>
      <ability>L2_Typo</ability>
      <abilityName>字词错误</abilityName>
      <candidateList>
        <item>，对</item>
      </candidateList>
      <explain/>
      <paraID>44E94962</paraID>
      <start>15</start>
      <end>16</end>
      <status>unmodified</status>
      <modifiedWord/>
      <trackRevisions>false</trackRevisions>
    </reviewItem>
    <reviewItem>
      <errorID>9f1e4b87-71e4-4463-932d-64a50ab3ff40</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4FF62163</paraID>
      <start>43</start>
      <end>44</end>
      <status>unmodified</status>
      <modifiedWord/>
      <trackRevisions>false</trackRevisions>
    </reviewItem>
    <reviewItem>
      <errorID>44f9cad8-bf5e-4580-838e-adc6538ffb5a</errorID>
      <errorWord>;</errorWord>
      <group>L1_Format</group>
      <groupName>格式问题</groupName>
      <ability>L2_HalfPunc</ability>
      <abilityName>全半角检查</abilityName>
      <candidateList>
        <item>；</item>
      </candidateList>
      <explain>文本全半角错误。</explain>
      <paraID>4FF62163</paraID>
      <start>57</start>
      <end>58</end>
      <status>modified</status>
      <modifiedWord>；</modifiedWord>
      <trackRevisions>false</trackRevisions>
    </reviewItem>
    <reviewItem>
      <errorID>21956203-4c35-4e91-8990-42e8d310d27b</errorID>
      <errorWord>;</errorWord>
      <group>L1_Punc</group>
      <groupName>标点问题</groupName>
      <ability>L2_Punc</ability>
      <abilityName>标点符号检查</abilityName>
      <candidateList>
        <item>；</item>
      </candidateList>
      <explain/>
      <paraID>4FF62163</paraID>
      <start>108</start>
      <end>109</end>
      <status>modified</status>
      <modifiedWord>；</modifiedWord>
      <trackRevisions>false</trackRevisions>
    </reviewItem>
    <reviewItem>
      <errorID>1902716e-eafc-4b7c-a9a8-a781938a23dc</errorID>
      <errorWord>及</errorWord>
      <group>L1_Word</group>
      <groupName>字词问题</groupName>
      <ability>L2_Typo</ability>
      <abilityName>字词错误</abilityName>
      <candidateList>
        <item>并</item>
      </candidateList>
      <explain/>
      <paraID>4FF62163</paraID>
      <start>132</start>
      <end>133</end>
      <status>unmodified</status>
      <modifiedWord/>
      <trackRevisions>false</trackRevisions>
    </reviewItem>
    <reviewItem>
      <errorID>427ffe9e-9a1a-4816-9af5-d3e17e2aadeb</errorID>
      <errorWord>程</errorWord>
      <group>L1_Word</group>
      <groupName>字词问题</groupName>
      <ability>L2_Typo</ability>
      <abilityName>字词错误</abilityName>
      <candidateList>
        <item>程中</item>
      </candidateList>
      <explain/>
      <paraID>4FF62163</paraID>
      <start>141</start>
      <end>142</end>
      <status>unmodified</status>
      <modifiedWord/>
      <trackRevisions>false</trackRevisions>
    </reviewItem>
    <reviewItem>
      <errorID>bd26e6d2-d374-4c6e-a485-5d6b537806e2</errorID>
      <errorWord>:</errorWord>
      <group>L1_Format</group>
      <groupName>格式问题</groupName>
      <ability>L2_HalfPunc</ability>
      <abilityName>全半角检查</abilityName>
      <candidateList>
        <item>：</item>
      </candidateList>
      <explain>文本全半角错误。</explain>
      <paraID>28A36946</paraID>
      <start>5</start>
      <end>6</end>
      <status>modified</status>
      <modifiedWord>：</modifiedWord>
      <trackRevisions>false</trackRevisions>
    </reviewItem>
    <reviewItem>
      <errorID>29316505-ce15-4691-a82f-f01766a3e66e</errorID>
      <errorWord>;</errorWord>
      <group>L1_Punc</group>
      <groupName>标点问题</groupName>
      <ability>L2_Punc</ability>
      <abilityName>标点符号检查</abilityName>
      <candidateList>
        <item>；</item>
      </candidateList>
      <explain/>
      <paraID>28A36946</paraID>
      <start>23</start>
      <end>24</end>
      <status>modified</status>
      <modifiedWord>；</modifiedWord>
      <trackRevisions>false</trackRevisions>
    </reviewItem>
    <reviewItem>
      <errorID>e6c874c8-7a79-4c85-9c35-894b91cb57ae</errorID>
      <errorWord>“</errorWord>
      <group>L1_Punc</group>
      <groupName>标点问题</groupName>
      <ability>L2_Punc</ability>
      <abilityName>标点符号检查</abilityName>
      <candidateList>
        <item> “</item>
      </candidateList>
      <explain/>
      <paraID>4D680291</paraID>
      <start>2</start>
      <end>3</end>
      <status>unmodified</status>
      <modifiedWord/>
      <trackRevisions>false</trackRevisions>
    </reviewItem>
    <reviewItem>
      <errorID>de1497ab-fe1f-438e-a919-b3d4637012eb</errorID>
      <errorWord>一等奖</errorWord>
      <group>L1_Word</group>
      <groupName>字词问题</groupName>
      <ability>L2_Typo</ability>
      <abilityName>字词错误</abilityName>
      <candidateList>
        <item> 一等奖</item>
      </candidateList>
      <explain/>
      <paraID>71C20257</paraID>
      <start>2</start>
      <end>5</end>
      <status>unmodified</status>
      <modifiedWord/>
      <trackRevisions>false</trackRevisions>
    </reviewItem>
    <reviewItem>
      <errorID>07abdf8f-639f-4b87-aa4c-9ab9db564b87</errorID>
      <errorWord>万</errorWord>
      <group>L1_Word</group>
      <groupName>字词问题</groupName>
      <ability>L2_Typo</ability>
      <abilityName>字词错误</abilityName>
      <candidateList>
        <item>万元</item>
      </candidateList>
      <explain/>
      <paraID>63B85343</paraID>
      <start>23</start>
      <end>24</end>
      <status>unmodified</status>
      <modifiedWord/>
      <trackRevisions>false</trackRevisions>
    </reviewItem>
    <reviewItem>
      <errorID>a36be45a-426f-4ef7-96d5-517a85316052</errorID>
      <errorWord>针对</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60502674</paraID>
      <start>79</start>
      <end>81</end>
      <status>unmodified</status>
      <modifiedWord/>
      <trackRevisions>false</trackRevisions>
    </reviewItem>
    <reviewItem>
      <errorID>7582da5a-eb5a-457d-9688-8834a02daf93</errorID>
      <errorWord>的</errorWord>
      <group>L1_Word</group>
      <groupName>字词问题</groupName>
      <ability>L2_Typo</ability>
      <abilityName>字词错误</abilityName>
      <candidateList>
        <item>地</item>
      </candidateList>
      <explain/>
      <paraID>2E1C978A</paraID>
      <start>43</start>
      <end>44</end>
      <status>unmodified</status>
      <modifiedWord/>
      <trackRevisions>false</trackRevisions>
    </reviewItem>
    <reviewItem>
      <errorID>25853e89-ecfb-427b-a88c-a70a93394ade</errorID>
      <errorWord>解及</errorWord>
      <group>L1_Word</group>
      <groupName>字词问题</groupName>
      <ability>L2_Typo</ability>
      <abilityName>字词错误</abilityName>
      <candidateList>
        <item>解答并</item>
      </candidateList>
      <explain/>
      <paraID>2E1C978A</paraID>
      <start>72</start>
      <end>74</end>
      <status>unmodified</status>
      <modifiedWord/>
      <trackRevisions>false</trackRevisions>
    </reviewItem>
    <reviewItem>
      <errorID>7749cff9-a46a-482b-85fa-e64318eb9173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1845FD2F</paraID>
      <start>0</start>
      <end>2</end>
      <status>modified</status>
      <modifiedWord>1.</modifiedWord>
      <trackRevisions>false</trackRevisions>
    </reviewItem>
    <reviewItem>
      <errorID>4be5d2d7-79fb-415a-a329-81f62e2f0593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60E0FBF1</paraID>
      <start>0</start>
      <end>2</end>
      <status>modified</status>
      <modifiedWord>2.</modifiedWord>
      <trackRevisions>false</trackRevisions>
    </reviewItem>
    <reviewItem>
      <errorID>de7e6b56-b536-4254-9864-b4bbd5501688</errorID>
      <errorWord>亟需</errorWord>
      <group>L1_Word</group>
      <groupName>字词问题</groupName>
      <ability>L2_Typo</ability>
      <abilityName>字词错误</abilityName>
      <candidateList>
        <item>亟须</item>
      </candidateList>
      <explain/>
      <paraID>69BAE697</paraID>
      <start>217</start>
      <end>219</end>
      <status>unmodified</status>
      <modifiedWord/>
      <trackRevisions>false</trackRevisions>
    </reviewItem>
    <reviewItem>
      <errorID>539c6279-8d81-43f3-854b-46e2f6dfd158</errorID>
      <errorWord>(</errorWord>
      <group>L1_Format</group>
      <groupName>格式问题</groupName>
      <ability>L2_HalfPunc</ability>
      <abilityName>全半角检查</abilityName>
      <candidateList>
        <item>（</item>
      </candidateList>
      <explain>文本全半角错误。</explain>
      <paraID>170F99A7</paraID>
      <start>13</start>
      <end>14</end>
      <status>modified</status>
      <modifiedWord>（</modifiedWord>
      <trackRevisions>false</trackRevisions>
    </reviewItem>
    <reviewItem>
      <errorID>8b33523d-1a69-434d-803e-3739cd822af0</errorID>
      <errorWord>)</errorWord>
      <group>L1_Format</group>
      <groupName>格式问题</groupName>
      <ability>L2_HalfPunc</ability>
      <abilityName>全半角检查</abilityName>
      <candidateList>
        <item>）</item>
      </candidateList>
      <explain>文本全半角错误。</explain>
      <paraID>170F99A7</paraID>
      <start>23</start>
      <end>24</end>
      <status>modified</status>
      <modifiedWord>）</modifiedWord>
      <trackRevisions>false</trackRevisions>
    </reviewItem>
    <reviewItem>
      <errorID>63d1590a-528a-48fb-b4f9-9a35fe0efc93</errorID>
      <errorWord>器</errorWord>
      <group>L1_Word</group>
      <groupName>字词问题</groupName>
      <ability>L2_Typo</ability>
      <abilityName>字词错误</abilityName>
      <candidateList>
        <item>器人</item>
      </candidateList>
      <explain/>
      <paraID>16B38075</paraID>
      <start>23</start>
      <end>24</end>
      <status>unmodified</status>
      <modifiedWord/>
      <trackRevisions>false</trackRevisions>
    </reviewItem>
    <reviewItem>
      <errorID>b7b1b6d8-bdce-4982-abba-3b09bf3a887b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1C37A69C</paraID>
      <start>0</start>
      <end>2</end>
      <status>modified</status>
      <modifiedWord>1.</modifiedWord>
      <trackRevisions>false</trackRevisions>
    </reviewItem>
    <reviewItem>
      <errorID>f7a0f07d-8179-42f8-af41-0da8725e1ee6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2AD5A404</paraID>
      <start>0</start>
      <end>2</end>
      <status>modified</status>
      <modifiedWord>2.</modifiedWord>
      <trackRevisions>false</trackRevisions>
    </reviewItem>
    <reviewItem>
      <errorID>0c9b67b2-528e-435c-8f5d-2b6ec9df4649</errorID>
      <errorWord>(</errorWord>
      <group>L1_Format</group>
      <groupName>格式问题</groupName>
      <ability>L2_HalfPunc</ability>
      <abilityName>全半角检查</abilityName>
      <candidateList>
        <item>（</item>
      </candidateList>
      <explain>文本全半角错误。</explain>
      <paraID>2AD5A404</paraID>
      <start>14</start>
      <end>15</end>
      <status>modified</status>
      <modifiedWord>（</modifiedWord>
      <trackRevisions>false</trackRevisions>
    </reviewItem>
    <reviewItem>
      <errorID>61ee6fa3-c458-4e80-a8f6-655aa06d25e0</errorID>
      <errorWord>),</errorWord>
      <group>L1_Format</group>
      <groupName>格式问题</groupName>
      <ability>L2_HalfPunc</ability>
      <abilityName>全半角检查</abilityName>
      <candidateList>
        <item>），</item>
      </candidateList>
      <explain>文本全半角错误。</explain>
      <paraID>2AD5A404</paraID>
      <start>26</start>
      <end>28</end>
      <status>modified</status>
      <modifiedWord>），</modifiedWord>
      <trackRevisions>false</trackRevisions>
    </reviewItem>
    <reviewItem>
      <errorID>40eaec05-d69d-4b83-bd9c-6c7161180f72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4A901D27</paraID>
      <start>0</start>
      <end>2</end>
      <status>modified</status>
      <modifiedWord>3.</modifiedWord>
      <trackRevisions>false</trackRevisions>
    </reviewItem>
    <reviewItem>
      <errorID>4d6000c2-b0f0-4d4e-a0bc-44707b4246c3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56EB15BE</paraID>
      <start>0</start>
      <end>2</end>
      <status>modified</status>
      <modifiedWord>1.</modifiedWord>
      <trackRevisions>false</trackRevisions>
    </reviewItem>
    <reviewItem>
      <errorID>26a91ca5-d740-4da4-b15e-cd2f877ff06c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77A75549</paraID>
      <start>0</start>
      <end>2</end>
      <status>modified</status>
      <modifiedWord>2.</modifiedWord>
      <trackRevisions>false</trackRevisions>
    </reviewItem>
    <reviewItem>
      <errorID>5ee1c496-6403-40c5-8184-698442133375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34B283A1</paraID>
      <start>0</start>
      <end>2</end>
      <status>modified</status>
      <modifiedWord>3.</modifiedWord>
      <trackRevisions>false</trackRevisions>
    </reviewItem>
    <reviewItem>
      <errorID>7b36b435-c2b7-4470-95ce-f09182a7f054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4FD6916E</paraID>
      <start>0</start>
      <end>2</end>
      <status>modified</status>
      <modifiedWord>1.</modifiedWord>
      <trackRevisions>false</trackRevisions>
    </reviewItem>
    <reviewItem>
      <errorID>c32a218d-eb56-4723-89f5-cc5066ff3357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5FBEE644</paraID>
      <start>0</start>
      <end>2</end>
      <status>modified</status>
      <modifiedWord>2.</modifiedWord>
      <trackRevisions>false</trackRevisions>
    </reviewItem>
    <reviewItem>
      <errorID>8780fe57-8967-4b82-b7db-4b3dd9c9aff4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5945644</paraID>
      <start>0</start>
      <end>2</end>
      <status>modified</status>
      <modifiedWord>3.</modifiedWord>
      <trackRevisions>false</trackRevisions>
    </reviewItem>
    <reviewItem>
      <errorID>9b6b13bc-19ea-4481-b6f9-d44ea93dce27</errorID>
      <errorWord>晰</errorWord>
      <group>L1_Word</group>
      <groupName>字词问题</groupName>
      <ability>L2_Typo</ability>
      <abilityName>字词错误</abilityName>
      <candidateList>
        <item>晰地</item>
      </candidateList>
      <explain/>
      <paraID>747F00F9</paraID>
      <start>30</start>
      <end>31</end>
      <status>unmodified</status>
      <modifiedWord/>
      <trackRevisions>false</trackRevisions>
    </reviewItem>
    <reviewItem>
      <errorID>531913f6-0342-4983-a739-dd434ba96bd8</errorID>
      <errorWord>晰</errorWord>
      <group>L1_Word</group>
      <groupName>字词问题</groupName>
      <ability>L2_Typo</ability>
      <abilityName>字词错误</abilityName>
      <candidateList>
        <item>晰地</item>
      </candidateList>
      <explain/>
      <paraID>74FF3453</paraID>
      <start>2</start>
      <end>3</end>
      <status>unmodified</status>
      <modifiedWord/>
      <trackRevisions>false</trackRevisions>
    </reviewItem>
    <reviewItem>
      <errorID>f9f305a8-5e09-4776-9a87-b4bcf3ef4ff5</errorID>
      <errorWord>必须</errorWord>
      <group>L1_Word</group>
      <groupName>字词问题</groupName>
      <ability>L2_Typo</ability>
      <abilityName>字词错误</abilityName>
      <candidateList>
        <item>必需</item>
      </candidateList>
      <explain>〈动〉一定要有；不可少：日用～品｜煤铁等是发展工业所～的原料。</explain>
      <paraID>1E8480EC</paraID>
      <start>44</start>
      <end>46</end>
      <status>unmodified</status>
      <modifiedWord/>
      <trackRevisions>false</trackRevisions>
    </reviewItem>
    <reviewItem>
      <errorID>fd2693d8-c4aa-45f7-a76e-9e1e1bad196b</errorID>
      <errorWord>程</errorWord>
      <group>L1_Word</group>
      <groupName>字词问题</groupName>
      <ability>L2_Typo</ability>
      <abilityName>字词错误</abilityName>
      <candidateList>
        <item>程中</item>
      </candidateList>
      <explain/>
      <paraID>4EE0947E</paraID>
      <start>69</start>
      <end>70</end>
      <status>unmodified</status>
      <modifiedWord/>
      <trackRevisions>false</trackRevisions>
    </reviewItem>
    <reviewItem>
      <errorID>bc23ae24-cf3f-4182-9161-5c4a3c2374cf</errorID>
      <errorWord>流</errorWord>
      <group>L1_Word</group>
      <groupName>字词问题</groupName>
      <ability>L2_Typo</ability>
      <abilityName>字词错误</abilityName>
      <candidateList>
        <item>流程</item>
      </candidateList>
      <explain/>
      <paraID>2F31B186</paraID>
      <start>35</start>
      <end>36</end>
      <status>unmodified</status>
      <modifiedWord/>
      <trackRevisions>false</trackRevisions>
    </reviewItem>
    <reviewItem>
      <errorID>c74511c2-81d8-4919-bd3d-440c4454e7fb</errorID>
      <errorWord>个人信息保护法</errorWord>
      <group>L1_Knowledge</group>
      <groupName>知识性问题</groupName>
      <ability>L2_Knowledge</ability>
      <abilityName>其他知识</abilityName>
      <candidateList>
        <item>中华人民共和国个人信息保护法</item>
      </candidateList>
      <explain>当前法律法规名称使用简称，请注意是否应当使用全称。</explain>
      <paraID>15340EBB</paraID>
      <start>50</start>
      <end>57</end>
      <status>unmodified</status>
      <modifiedWord/>
      <trackRevisions>false</trackRevisions>
    </reviewItem>
    <reviewItem>
      <errorID>fbac798d-cde7-4d32-ae0d-07397e52f1da</errorID>
      <errorWord>“双碳”战略</errorWord>
      <group>L1_Word</group>
      <groupName>字词问题</groupName>
      <ability>L2_Typo</ability>
      <abilityName>字词错误</abilityName>
      <candidateList>
        <item>“双碳”目标</item>
      </candidateList>
      <explain/>
      <paraID>65BA5926</paraID>
      <start>2</start>
      <end>8</end>
      <status>unmodified</status>
      <modifiedWord/>
      <trackRevisions>false</trackRevisions>
    </reviewItem>
    <reviewItem>
      <errorID>690bf045-9424-4385-b280-37852f07f4ed</errorID>
      <errorWord>新一轮科技革命与产业变革</errorWord>
      <group>L1_Political</group>
      <groupName>政治性问题</groupName>
      <ability>L2_Keyword</ability>
      <abilityName>固定表述</abilityName>
      <candidateList>
        <item>新一轮科技革命和产业变革</item>
      </candidateList>
      <explain>词汇“新一轮科技革命和产业变革”在特定场景下为固定表述形式，请确认此处的“新一轮科技革命与产业变革”是否存在不当。</explain>
      <paraID>25CC7FCC</paraID>
      <start>3</start>
      <end>15</end>
      <status>unmodified</status>
      <modifiedWord/>
      <trackRevisions>false</trackRevisions>
    </reviewItem>
    <reviewItem>
      <errorID>c71f29ad-0c93-4014-ac57-1bc3ac3b4698</errorID>
      <errorWord>亟需</errorWord>
      <group>L1_Word</group>
      <groupName>字词问题</groupName>
      <ability>L2_Typo</ability>
      <abilityName>字词错误</abilityName>
      <candidateList>
        <item>亟须</item>
      </candidateList>
      <explain/>
      <paraID>25CC7FCC</paraID>
      <start>198</start>
      <end>200</end>
      <status>unmodified</status>
      <modifiedWord/>
      <trackRevisions>false</trackRevisions>
    </reviewItem>
    <reviewItem>
      <errorID>f48b8377-cadb-488d-8d5f-7ce09ae6557d</errorID>
      <errorWord>，</errorWord>
      <group>L1_Word</group>
      <groupName>字词问题</groupName>
      <ability>L2_Typo</ability>
      <abilityName>字词错误</abilityName>
      <candidateList>
        <item>，以</item>
      </candidateList>
      <explain/>
      <paraID>2A98ED61</paraID>
      <start>42</start>
      <end>43</end>
      <status>unmodified</status>
      <modifiedWord/>
      <trackRevisions>false</trackRevisions>
    </reviewItem>
    <reviewItem>
      <errorID>9943cbeb-79e3-43b2-ab1c-93dc258c20b9</errorID>
      <errorWord>双碳</errorWord>
      <group>L1_Political</group>
      <groupName>政治性问题</groupName>
      <ability>L2_Keyword</ability>
      <abilityName>固定表述</abilityName>
      <candidateList>
        <item>“双碳”</item>
      </candidateList>
      <explain>注意检查当前固定表述标点是否使用规范。</explain>
      <paraID>397941DF</paraID>
      <start>5</start>
      <end>7</end>
      <status>unmodified</status>
      <modifiedWord/>
      <trackRevisions>false</trackRevisions>
    </reviewItem>
    <reviewItem>
      <errorID>312a15f3-0915-4af4-9e29-79a3662dc17d</errorID>
      <errorWord>(</errorWord>
      <group>L1_Format</group>
      <groupName>格式问题</groupName>
      <ability>L2_HalfPunc</ability>
      <abilityName>全半角检查</abilityName>
      <candidateList>
        <item>（</item>
      </candidateList>
      <explain>文本全半角错误。</explain>
      <paraID>7F2B5925</paraID>
      <start>11</start>
      <end>12</end>
      <status>modified</status>
      <modifiedWord>（</modifiedWord>
      <trackRevisions>false</trackRevisions>
    </reviewItem>
    <reviewItem>
      <errorID>52ce8675-59cb-4fec-b2e0-419797c832d6</errorID>
      <errorWord>)</errorWord>
      <group>L1_Format</group>
      <groupName>格式问题</groupName>
      <ability>L2_HalfPunc</ability>
      <abilityName>全半角检查</abilityName>
      <candidateList>
        <item>）</item>
      </candidateList>
      <explain>文本全半角错误。</explain>
      <paraID>7F2B5925</paraID>
      <start>18</start>
      <end>19</end>
      <status>modified</status>
      <modifiedWord>）</modifiedWord>
      <trackRevisions>false</trackRevisions>
    </reviewItem>
    <reviewItem>
      <errorID>ffc36f3c-0a8b-478a-a007-de13b9c06250</errorID>
      <errorWord>万人民币</errorWord>
      <group>L1_Word</group>
      <groupName>字词问题</groupName>
      <ability>L2_Typo</ability>
      <abilityName>字词错误</abilityName>
      <candidateList>
        <item>万元人民币</item>
      </candidateList>
      <explain/>
      <paraID>63A5E993</paraID>
      <start>74</start>
      <end>78</end>
      <status>unmodified</status>
      <modifiedWord/>
      <trackRevisions>false</trackRevisions>
    </reviewItem>
    <reviewItem>
      <errorID>982877da-cd35-46d4-bc14-e8c61df7e04e</errorID>
      <errorWord>万人民币</errorWord>
      <group>L1_Word</group>
      <groupName>字词问题</groupName>
      <ability>L2_Typo</ability>
      <abilityName>字词错误</abilityName>
      <candidateList>
        <item>万元人民币</item>
      </candidateList>
      <explain/>
      <paraID>63A5E993</paraID>
      <start>93</start>
      <end>97</end>
      <status>unmodified</status>
      <modifiedWord/>
      <trackRevisions>false</trackRevisions>
    </reviewItem>
    <reviewItem>
      <errorID>f64d8ef0-a017-435b-9bfc-7bd7d2abd405</errorID>
      <errorWord>制</errorWord>
      <group>L1_Word</group>
      <groupName>字词问题</groupName>
      <ability>L2_Typo</ability>
      <abilityName>字词错误</abilityName>
      <candidateList>
        <item>制等</item>
      </candidateList>
      <explain/>
      <paraID>5CBE0AAC</paraID>
      <start>84</start>
      <end>85</end>
      <status>unmodified</status>
      <modifiedWord/>
      <trackRevisions>false</trackRevisions>
    </reviewItem>
    <reviewItem>
      <errorID>eee4fdc3-3d94-47cd-9f0e-24d29db58a75</errorID>
      <errorWord>好</errorWord>
      <group>L1_Word</group>
      <groupName>字词问题</groupName>
      <ability>L2_Typo</ability>
      <abilityName>字词错误</abilityName>
      <candidateList>
        <item>好地</item>
      </candidateList>
      <explain/>
      <paraID>5DD85871</paraID>
      <start>37</start>
      <end>38</end>
      <status>unmodified</status>
      <modifiedWord/>
      <trackRevisions>false</trackRevisions>
    </reviewItem>
    <reviewItem>
      <errorID>15606643-58cb-4e22-886d-61178dcb1644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71DBCD1C</paraID>
      <start>84</start>
      <end>87</end>
      <status>unmodified</status>
      <modifiedWord/>
      <trackRevisions>false</trackRevisions>
    </reviewItem>
    <reviewItem>
      <errorID>6dcc9da0-7430-448e-bef3-bd26095e58b6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71DBCD1C</paraID>
      <start>89</start>
      <end>92</end>
      <status>unmodified</status>
      <modifiedWord/>
      <trackRevisions>false</trackRevisions>
    </reviewItem>
    <reviewItem>
      <errorID>d2175201-ba3b-4628-aae9-623feca98bdf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2150F949</paraID>
      <start>0</start>
      <end>2</end>
      <status>modified</status>
      <modifiedWord>1.</modifiedWord>
      <trackRevisions>false</trackRevisions>
    </reviewItem>
    <reviewItem>
      <errorID>7761724d-070e-4f08-885a-b1a1b825e2a5</errorID>
      <errorWord>、以及</errorWord>
      <group>L1_Punc</group>
      <groupName>标点问题</groupName>
      <ability>L2_Punc</ability>
      <abilityName>标点符号检查</abilityName>
      <candidateList>
        <item>，以及</item>
      </candidateList>
      <explain>连接词前后不宜使用顿号，建议使用逗号。</explain>
      <paraID>3A783C70</paraID>
      <start>41</start>
      <end>44</end>
      <status>unmodified</status>
      <modifiedWord/>
      <trackRevisions>false</trackRevisions>
    </reviewItem>
    <reviewItem>
      <errorID>1e51f3e0-2b9b-4012-a8a0-793b792e6d56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3229FBD4</paraID>
      <start>0</start>
      <end>2</end>
      <status>modified</status>
      <modifiedWord>2.</modifiedWord>
      <trackRevisions>false</trackRevisions>
    </reviewItem>
    <reviewItem>
      <errorID>ce328470-fdfe-4824-b91f-78cc16089133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60C6F491</paraID>
      <start>160</start>
      <end>163</end>
      <status>unmodified</status>
      <modifiedWord/>
      <trackRevisions>false</trackRevisions>
    </reviewItem>
    <reviewItem>
      <errorID>472dab61-cd01-4001-bd79-15ded1ead983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60C6F491</paraID>
      <start>173</start>
      <end>176</end>
      <status>unmodified</status>
      <modifiedWord/>
      <trackRevisions>false</trackRevisions>
    </reviewItem>
    <reviewItem>
      <errorID>23527a8e-1aae-4712-89c3-5fdd4df2d632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60C6F491</paraID>
      <start>191</start>
      <end>194</end>
      <status>unmodified</status>
      <modifiedWord/>
      <trackRevisions>false</trackRevisions>
    </reviewItem>
    <reviewItem>
      <errorID>09394eb7-4c2a-41f2-817d-6fe8e358e96d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60C6F491</paraID>
      <start>207</start>
      <end>210</end>
      <status>unmodified</status>
      <modifiedWord/>
      <trackRevisions>false</trackRevisions>
    </reviewItem>
    <reviewItem>
      <errorID>43961b07-ea42-4a7e-abe8-03bb1fcfa062</errorID>
      <errorWord>至</errorWord>
      <group>L1_Word</group>
      <groupName>字词问题</groupName>
      <ability>L2_Typo</ability>
      <abilityName>字词错误</abilityName>
      <candidateList>
        <item>到</item>
      </candidateList>
      <explain>存在字形相近字词的误用。</explain>
      <paraID>77299EE8</paraID>
      <start>81</start>
      <end>82</end>
      <status>unmodified</status>
      <modifiedWord/>
      <trackRevisions>false</trackRevisions>
    </reviewItem>
    <reviewItem>
      <errorID>e49cad64-7612-4f03-b976-d0c086d45314</errorID>
      <errorWord>详实</errorWord>
      <group>L1_Word</group>
      <groupName>字词问题</groupName>
      <ability>L2_Typo</ability>
      <abilityName>字词错误</abilityName>
      <candidateList>
        <item>翔实</item>
      </candidateList>
      <explain>存在发音相同字词的误用。</explain>
      <paraID>6ECECEF5</paraID>
      <start>39</start>
      <end>41</end>
      <status>unmodified</status>
      <modifiedWord/>
      <trackRevisions>false</trackRevisions>
    </reviewItem>
    <reviewItem>
      <errorID>367c778b-209e-4761-a691-2502dcb05f7f</errorID>
      <errorWord>、以及</errorWord>
      <group>L1_Punc</group>
      <groupName>标点问题</groupName>
      <ability>L2_Punc</ability>
      <abilityName>标点符号检查</abilityName>
      <candidateList>
        <item>，以及</item>
      </candidateList>
      <explain>连接词前后不宜使用顿号，建议使用逗号。</explain>
      <paraID> 51DE0BD</paraID>
      <start>28</start>
      <end>31</end>
      <status>unmodified</status>
      <modifiedWord/>
      <trackRevisions>false</trackRevisions>
    </reviewItem>
    <reviewItem>
      <errorID>d7d94503-50af-42ef-a1ab-cefb7a34935c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30C78EEE</paraID>
      <start>0</start>
      <end>2</end>
      <status>modified</status>
      <modifiedWord>1.</modifiedWord>
      <trackRevisions>false</trackRevisions>
    </reviewItem>
    <reviewItem>
      <errorID>1cfa7fac-07f9-46df-a991-6429926e1a3d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C539EA7</paraID>
      <start>0</start>
      <end>2</end>
      <status>modified</status>
      <modifiedWord>2.</modifiedWord>
      <trackRevisions>false</trackRevisions>
    </reviewItem>
    <reviewItem>
      <errorID>649e24b2-dabb-45b3-a4f4-1e288ff8ef10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68D1EE43</paraID>
      <start>0</start>
      <end>2</end>
      <status>modified</status>
      <modifiedWord>3.</modifiedWord>
      <trackRevisions>false</trackRevisions>
    </reviewItem>
    <reviewItem>
      <errorID>8fb35e82-9924-4f93-a5c4-30bb65b4f9fc</errorID>
      <errorWord>;</errorWord>
      <group>L1_Format</group>
      <groupName>格式问题</groupName>
      <ability>L2_HalfPunc</ability>
      <abilityName>全半角检查</abilityName>
      <candidateList>
        <item>；</item>
      </candidateList>
      <explain>文本全半角错误。</explain>
      <paraID>61ED4C57</paraID>
      <start>155</start>
      <end>156</end>
      <status>modified</status>
      <modifiedWord>；</modifiedWord>
      <trackRevisions>false</trackRevisions>
    </reviewItem>
    <reviewItem>
      <errorID>9ff85bfb-6463-4f62-83ee-27bda5e5ddcc</errorID>
      <errorWord>需具备</errorWord>
      <group>L1_Word</group>
      <groupName>字词问题</groupName>
      <ability>L2_Typo</ability>
      <abilityName>字词错误</abilityName>
      <candidateList>
        <item>须具备</item>
      </candidateList>
      <explain/>
      <paraID>2B41FC40</paraID>
      <start>2</start>
      <end>5</end>
      <status>unmodified</status>
      <modifiedWord/>
      <trackRevisions>false</trackRevisions>
    </reviewItem>
    <reviewItem>
      <errorID>f18fae8f-4eae-40c8-80fd-a35e844bbd50</errorID>
      <errorWord>成为了一个</errorWord>
      <group>L1_Word</group>
      <groupName>字词问题</groupName>
      <ability>L2_Typo</ability>
      <abilityName>字词错误</abilityName>
      <candidateList>
        <item>成了一个</item>
      </candidateList>
      <explain/>
      <paraID>12D53634</paraID>
      <start>25</start>
      <end>30</end>
      <status>unmodified</status>
      <modifiedWord/>
      <trackRevisions>false</trackRevisions>
    </reviewItem>
    <reviewItem>
      <errorID>5fadbb52-a5c0-450a-8e71-0adf0d2ca182</errorID>
      <errorWord>平米</errorWord>
      <group>L1_Word</group>
      <groupName>字词问题</groupName>
      <ability>L2_Typo</ability>
      <abilityName>字词错误</abilityName>
      <candidateList>
        <item>平方米</item>
      </candidateList>
      <explain>〈量〉面积单位，边长1米的正方形的面积是1平方米，符号为m²。</explain>
      <paraID>12D53634</paraID>
      <start>53</start>
      <end>55</end>
      <status>unmodified</status>
      <modifiedWord/>
      <trackRevisions>false</trackRevisions>
    </reviewItem>
    <reviewItem>
      <errorID>d0e1dcb8-013d-4cd0-9d78-6743748426e4</errorID>
      <errorWord>三农</errorWord>
      <group>L1_Political</group>
      <groupName>政治性问题</groupName>
      <ability>L2_Keyword</ability>
      <abilityName>固定表述</abilityName>
      <candidateList>
        <item>“三农”</item>
      </candidateList>
      <explain>注意检查当前固定表述标点是否使用规范。</explain>
      <paraID>12D53634</paraID>
      <start>87</start>
      <end>89</end>
      <status>unmodified</status>
      <modifiedWord/>
      <trackRevisions>false</trackRevisions>
    </reviewItem>
    <reviewItem>
      <errorID>dc2ba88f-de90-4827-a954-acb4ca99ac4f</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47AC2FAB</paraID>
      <start>51</start>
      <end>53</end>
      <status>unmodified</status>
      <modifiedWord/>
      <trackRevisions>false</trackRevisions>
    </reviewItem>
    <reviewItem>
      <errorID>6133d368-e3ba-4cd9-aa30-71bbaefde83d</errorID>
      <errorWord>扩展</errorWord>
      <group>L1_Grammar</group>
      <groupName>语法问题</groupName>
      <ability>L2_Grammar</ability>
      <abilityName>语法错误</abilityName>
      <candidateList>
        <item>拓展</item>
      </candidateList>
      <explain>“扩展～路径”搭配不当，建议修改为“拓展～路径”。</explain>
      <paraID>6DA3B553</paraID>
      <start>20</start>
      <end>22</end>
      <status>unmodified</status>
      <modifiedWord/>
      <trackRevisions>false</trackRevisions>
    </reviewItem>
    <reviewItem>
      <errorID>b2fe6462-386c-444f-a46f-25caee6acfd8</errorID>
      <errorWord>覆盖了</errorWord>
      <group>L1_Word</group>
      <groupName>字词问题</groupName>
      <ability>L2_Typo</ability>
      <abilityName>字词错误</abilityName>
      <candidateList>
        <item>覆盖</item>
      </candidateList>
      <explain>❶〈动〉遮盖：积雪～着地面。❷〈名〉指地面上的植物，对于土壤有保护作用：没有～，水土容易流失。</explain>
      <paraID>41AD3D97</paraID>
      <start>22</start>
      <end>25</end>
      <status>unmodified</status>
      <modifiedWord/>
      <trackRevisions>false</trackRevisions>
    </reviewItem>
    <reviewItem>
      <errorID>4658c132-5f7f-4316-9f5a-f08107c02378</errorID>
      <errorWord>考察</errorWord>
      <group>L1_Word</group>
      <groupName>字词问题</groupName>
      <ability>L2_Typo</ability>
      <abilityName>字词错误</abilityName>
      <candidateList>
        <item>考查</item>
      </candidateList>
      <explain>〈动〉用一定的标准来检查衡量（行为、活动）：～学生的学业成绩。</explain>
      <paraID>3F017F37</paraID>
      <start>5</start>
      <end>7</end>
      <status>unmodified</status>
      <modifiedWord/>
      <trackRevisions>false</trackRevisions>
    </reviewItem>
    <reviewItem>
      <errorID>00cb09a9-b95b-4a80-9c3a-53ad55345629</errorID>
      <errorWord>考察</errorWord>
      <group>L1_Word</group>
      <groupName>字词问题</groupName>
      <ability>L2_Typo</ability>
      <abilityName>字词错误</abilityName>
      <candidateList>
        <item>考查</item>
      </candidateList>
      <explain>〈动〉用一定的标准来检查衡量（行为、活动）：～学生的学业成绩。</explain>
      <paraID>70F0E86C</paraID>
      <start>5</start>
      <end>7</end>
      <status>unmodified</status>
      <modifiedWord/>
      <trackRevisions>false</trackRevisions>
    </reviewItem>
    <reviewItem>
      <errorID>b7a07e5a-d6a2-4972-8409-91108011c8bf</errorID>
      <errorWord>考察</errorWord>
      <group>L1_Word</group>
      <groupName>字词问题</groupName>
      <ability>L2_Typo</ability>
      <abilityName>字词错误</abilityName>
      <candidateList>
        <item>考查</item>
      </candidateList>
      <explain>〈动〉用一定的标准来检查衡量（行为、活动）：～学生的学业成绩。</explain>
      <paraID>7BC9CCAD</paraID>
      <start>5</start>
      <end>7</end>
      <status>unmodified</status>
      <modifiedWord/>
      <trackRevisions>false</trackRevisions>
    </reviewItem>
    <reviewItem>
      <errorID>df23c662-40b3-4f24-aef0-c46fb5084f26</errorID>
      <errorWord>考察</errorWord>
      <group>L1_Word</group>
      <groupName>字词问题</groupName>
      <ability>L2_Typo</ability>
      <abilityName>字词错误</abilityName>
      <candidateList>
        <item>考查</item>
      </candidateList>
      <explain>〈动〉用一定的标准来检查衡量（行为、活动）：～学生的学业成绩。</explain>
      <paraID>6F834A27</paraID>
      <start>5</start>
      <end>7</end>
      <status>unmodified</status>
      <modifiedWord/>
      <trackRevisions>false</trackRevisions>
    </reviewItem>
  </reviewItems>
  <config/>
</contractReview>
</file>

<file path=customXml/itemProps1.xml><?xml version="1.0" encoding="utf-8"?>
<ds:datastoreItem xmlns:ds="http://schemas.openxmlformats.org/officeDocument/2006/customXml" ds:itemID="{bebfe93b-b488-4d08-92d6-9a4c12a77d39}">
  <ds:schemaRefs/>
</ds:datastoreItem>
</file>

<file path=docProps/app.xml><?xml version="1.0" encoding="utf-8"?>
<Properties xmlns="http://schemas.openxmlformats.org/officeDocument/2006/extended-properties" xmlns:vt="http://schemas.openxmlformats.org/officeDocument/2006/docPropsVTypes">
  <Template>Normal.dotm</Template>
  <Pages>91</Pages>
  <Words>17575</Words>
  <Characters>18195</Characters>
  <Lines>28</Lines>
  <Paragraphs>8</Paragraphs>
  <TotalTime>279</TotalTime>
  <ScaleCrop>false</ScaleCrop>
  <LinksUpToDate>false</LinksUpToDate>
  <CharactersWithSpaces>18272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2026-01-30T07:03:00Z</dcterms:created>
  <dc:creator>张 斌</dc:creator>
  <cp:lastModifiedBy>zz.</cp:lastModifiedBy>
  <cp:lastPrinted>2026-03-30T07:07:56Z</cp:lastPrinted>
  <dcterms:modified xsi:type="dcterms:W3CDTF">2026-03-30T07:45:53Z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A092BBF1D1A84FCF8EDEC46C90E8FCDD_13</vt:lpwstr>
  </property>
  <property fmtid="{D5CDD505-2E9C-101B-9397-08002B2CF9AE}" pid="4" name="KSOTemplateDocerSaveRecord">
    <vt:lpwstr>eyJoZGlkIjoiNmNmYmI4YmE1M2NkMWY1OGRjNmM0OTAzNjZiYjcwYmQiLCJ1c2VySWQiOiIxMzgyMjc3MzEzIn0=</vt:lpwstr>
  </property>
</Properties>
</file>